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AE172A"/>
          </w:tcPr>
          <w:p>
            <w:pPr>
              <w:spacing w:before="120" w:after="4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FFFFFF"/>
                <w:sz w:val="34"/>
              </w:rPr>
              <w:t>Plan de prospection sur 30 jours</w:t>
            </w:r>
          </w:p>
          <w:p>
            <w:pPr>
              <w:spacing w:after="12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FFE3E5"/>
                <w:sz w:val="19"/>
              </w:rPr>
              <w:t>Du lundi 2 au samedi 28 novembre 2026 · d'après la liste des 30 distributeurs et les pistes à l'export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Objectifs du mois (proposés, à valider par la direction commerciale)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30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distributeurs contactés, 100 % de la liste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12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rendez-vous tenus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5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offres envoyées, après accord de la direction sur les conditions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2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premières commandes ou référencements obtenus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Ces chiffres sont des objectifs de départ, pas des prévisions :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ils se corrigent à la fin de la semaine 2 au vu des premiers retours.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Semaine par semaine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2041"/>
        <w:gridCol w:w="3175"/>
        <w:gridCol w:w="2494"/>
        <w:gridCol w:w="2154"/>
      </w:tblGrid>
      <w:tr>
        <w:trPr>
          <w:tblHeader w:val="true"/>
        </w:trPr>
        <w:tc>
          <w:tcPr>
            <w:tcW w:type="dxa" w:w="2041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Semaine</w:t>
            </w:r>
          </w:p>
        </w:tc>
        <w:tc>
          <w:tcPr>
            <w:tcW w:type="dxa" w:w="3175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Qui appeler</w:t>
            </w:r>
          </w:p>
        </w:tc>
        <w:tc>
          <w:tcPr>
            <w:tcW w:type="dxa" w:w="249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Objectif</w:t>
            </w:r>
          </w:p>
        </w:tc>
        <w:tc>
          <w:tcPr>
            <w:tcW w:type="dxa" w:w="215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Livrable de la semaine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S1 · 2-7 nov.</w:t>
              <w:br/>
              <w:t>Grande distribution et pharmacie en Côte d'Ivoire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Groupe Prosuma (centrale d'achats)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CFAO Retail (Carrefour)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CDCI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Copharmed, UbiPharm, DPCI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Jumia Côte d'Ivoire (boutique officielle)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Obtenir 5 rendez-vous avec les acheteurs ; ouvrir le dossier vendeur Jumia.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Kit commercial prêt : catalogue, fiche des prix validée par la direction, échantillons.</w:t>
            </w:r>
          </w:p>
        </w:tc>
      </w:tr>
      <w:tr>
        <w:tc>
          <w:tcPr>
            <w:tcW w:type="dxa" w:w="204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S2 · 9-14 nov.</w:t>
              <w:br/>
              <w:t>Terrain Abidjan et marchés</w:t>
            </w:r>
          </w:p>
        </w:tc>
        <w:tc>
          <w:tcPr>
            <w:tcW w:type="dxa" w:w="317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Tournée des grossistes d'Adjamé et de Treichville (repérage sur place)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Ivoire Center, King Cash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Fabellashop, Glovo, Beauty Success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Tedis Pharma, Laborex Côte d'Ivoire</w:t>
            </w:r>
          </w:p>
        </w:tc>
        <w:tc>
          <w:tcPr>
            <w:tcW w:type="dxa" w:w="249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Recenser 15 grossistes des marchés avec leurs contacts ; 4 rendez-vous ; tenir les rendez-vous de S1.</w:t>
            </w:r>
          </w:p>
        </w:tc>
        <w:tc>
          <w:tcPr>
            <w:tcW w:type="dxa" w:w="215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Liste des grossistes des marchés ajoutée au suivi ; premiers comptes rendus.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S3 · 16-21 nov.</w:t>
              <w:br/>
              <w:t>Sous-région, priorité haute, et export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Sénégal : Auchan, groupe EDK, Laborex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Burkina Faso : Marina Market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Togo : Ramco ; Guinée : Carrefour Market Conakry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États-Unis : Damima Beauty, Kinds Wholesale, International Beauty Exchange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Premier échange avec 9 comptes ; relancer les clients américains déjà connus.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Première offre envoyée (après accord) ; conditions export à faire valider.</w:t>
            </w:r>
          </w:p>
        </w:tc>
      </w:tr>
      <w:tr>
        <w:tc>
          <w:tcPr>
            <w:tcW w:type="dxa" w:w="204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S4 · 23-28 nov.</w:t>
              <w:br/>
              <w:t>Sous-région, priorité moyenne, et relances</w:t>
            </w:r>
          </w:p>
        </w:tc>
        <w:tc>
          <w:tcPr>
            <w:tcW w:type="dxa" w:w="317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Sénégal : Casino, Duopharm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Burkina Faso et Mali : Laborex, CIM Market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Togo et Bénin : Le Champion, Mont Sinaï, Erevan, UbiPharm Bénin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Guinée : Laborex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Relance de tous les comptes de S1 et S2</w:t>
            </w:r>
          </w:p>
        </w:tc>
        <w:tc>
          <w:tcPr>
            <w:tcW w:type="dxa" w:w="249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Couvrir les 30 comptes ; 2 premières commandes ou référencements.</w:t>
            </w:r>
          </w:p>
        </w:tc>
        <w:tc>
          <w:tcPr>
            <w:tcW w:type="dxa" w:w="215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Bilan du mois : affaires gagnées et perdues, avec la raison, et plan du mois suivant.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Le rythme de l'équipe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Tous les jours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chaque soir, mise à jour du suivi des affaires : étape, prochaine action, date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Chaque lundi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point de 30 minutes : les affaires en retard, les rendez-vous de la semaine, les blocages à remonter à la direction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Règle d'arrêt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une affaire sans réponse après trois relances espacées passe en « Perdu », avec sa raison. Un non clair vaut mieux qu'une affaire qui traîne.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Le suivi des affaires</w:t>
      </w:r>
    </w:p>
    <w:p>
      <w:pPr>
        <w:spacing w:after="60"/>
      </w:pPr>
      <w:r>
        <w:rPr>
          <w:rFonts w:ascii="Work Sans" w:hAnsi="Work Sans" w:eastAsia="Work Sans"/>
          <w:b w:val="0"/>
          <w:i w:val="0"/>
          <w:color w:val="2B2A2E"/>
          <w:sz w:val="19"/>
        </w:rPr>
        <w:t>Le tableau de suivi accompagne ce plan : les 30 distributeurs y sont déjà inscrits. Chaque commercial y note l'étape, le montant estimé de la première commande et la prochaine action ; les retards s'affichent d'eux-mêmes et la synthèse se calcule seule, par étape et par commercial.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Ce qu'il faut décider avant de commencer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les prix de cession, la remise de lancement et le délai de paiement accordés aux distributeurs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qui, dans l'équipe, couvre la Côte d'Ivoire et qui couvre la sous-région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le budget d'échantillons et de mise en avant en magasin.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ork Sans" w:hAnsi="Work Sans" w:eastAsia="Work Sans"/>
        <w:b w:val="0"/>
        <w:i w:val="0"/>
        <w:color w:val="5F5F64"/>
        <w:sz w:val="16"/>
      </w:rPr>
      <w:t xml:space="preserve">Dream Cosmetics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Work Sans" w:hAnsi="Work Sans" w:eastAsia="Work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416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6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Work Sans" w:hAnsi="Work Sans" w:eastAsia="Work Sans"/>
        <w:b w:val="0"/>
        <w:i w:val="0"/>
        <w:color w:val="5F5F64"/>
        <w:sz w:val="16"/>
      </w:rPr>
      <w:t xml:space="preserve">      Plan de prospection sur 30 jours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Work Sans" w:hAnsi="Work Sans" w:eastAsia="Work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