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Borders>
          <w:top w:val="nil"/>
          <w:left w:val="nil"/>
          <w:bottom w:val="nil"/>
          <w:right w:val="nil"/>
          <w:insideH w:val="nil"/>
          <w:insideV w:val="nil"/>
        </w:tblBorders>
        <w:tblW w:w="10206" w:type="dxa"/>
        <w:tblLayout w:type="fixed"/>
      </w:tblPr>
      <w:tblGrid>
        <w:gridCol w:w="6917"/>
        <w:gridCol w:w="3288"/>
      </w:tblGrid>
      <w:tr>
        <w:tc>
          <w:tcPr>
            <w:tcW w:type="dxa" w:w="6917"/>
          </w:tcPr>
          <w:p>
            <w:pPr>
              <w:spacing w:after="20"/>
            </w:pPr>
            <w:r>
              <w:rPr>
                <w:rFonts w:ascii="Heebo" w:hAnsi="Heebo" w:eastAsia="Heebo"/>
                <w:b/>
                <w:i w:val="0"/>
                <w:color w:val="E84808"/>
                <w:sz w:val="34"/>
              </w:rPr>
              <w:t>Cuves et fosses septiques Taj Plast</w:t>
            </w:r>
          </w:p>
          <w:p>
            <w:pPr>
              <w:spacing w:after="80"/>
            </w:pPr>
            <w:r>
              <w:rPr>
                <w:b w:val="0"/>
                <w:i w:val="0"/>
                <w:color w:val="6B6B6B"/>
                <w:sz w:val="20"/>
              </w:rPr>
              <w:t>L'argumentaire pour les entreprises du BTP, les promoteurs et les plombiers-installateurs</w:t>
            </w:r>
          </w:p>
          <w:p>
            <w:pPr>
              <w:spacing w:after="40"/>
            </w:pPr>
            <w:r>
              <w:rPr>
                <w:b/>
                <w:i w:val="0"/>
                <w:sz w:val="19"/>
              </w:rPr>
              <w:t>La promesse en une phrase :</w:t>
            </w:r>
            <w:r>
              <w:rPr>
                <w:b w:val="0"/>
                <w:i w:val="0"/>
                <w:sz w:val="19"/>
              </w:rPr>
              <w:t xml:space="preserve"> des cuves et des fosses septiques prêtes à poser, fabriquées à Abidjan, livrées depuis la zone industrielle de Koumassi, pour tenir le planning de vos chantiers sans dépendre d'un import.</w:t>
            </w:r>
          </w:p>
          <w:p>
            <w:pPr>
              <w:spacing w:after="0"/>
            </w:pPr>
            <w:r>
              <w:rPr>
                <w:b/>
                <w:i w:val="0"/>
                <w:sz w:val="18"/>
              </w:rPr>
              <w:t>La gamme :</w:t>
            </w:r>
            <w:r>
              <w:rPr>
                <w:b w:val="0"/>
                <w:i w:val="0"/>
                <w:sz w:val="18"/>
              </w:rPr>
              <w:t xml:space="preserve"> cuves de stockage d'eau · fosses septiques · puits d'infiltration · tube orange.</w:t>
            </w:r>
          </w:p>
        </w:tc>
        <w:tc>
          <w:tcPr>
            <w:tcW w:type="dxa" w:w="3288"/>
          </w:tcPr>
          <w:p>
            <w:pPr>
              <w:jc w:val="center"/>
            </w:pPr>
            <w:r>
              <w:drawing>
                <wp:inline xmlns:a="http://schemas.openxmlformats.org/drawingml/2006/main" xmlns:pic="http://schemas.openxmlformats.org/drawingml/2006/picture">
                  <wp:extent cx="972000" cy="916378"/>
                  <wp:docPr id="1" name="Picture 1"/>
                  <wp:cNvGraphicFramePr>
                    <a:graphicFrameLocks noChangeAspect="1"/>
                  </wp:cNvGraphicFramePr>
                  <a:graphic>
                    <a:graphicData uri="http://schemas.openxmlformats.org/drawingml/2006/picture">
                      <pic:pic>
                        <pic:nvPicPr>
                          <pic:cNvPr id="0" name="fosse_s.jpg"/>
                          <pic:cNvPicPr/>
                        </pic:nvPicPr>
                        <pic:blipFill>
                          <a:blip r:embed="rId11"/>
                          <a:stretch>
                            <a:fillRect/>
                          </a:stretch>
                        </pic:blipFill>
                        <pic:spPr>
                          <a:xfrm>
                            <a:off x="0" y="0"/>
                            <a:ext cx="972000" cy="916378"/>
                          </a:xfrm>
                          <a:prstGeom prst="rect"/>
                        </pic:spPr>
                      </pic:pic>
                    </a:graphicData>
                  </a:graphic>
                </wp:inline>
              </w:drawing>
            </w:r>
            <w:r>
              <w:t xml:space="preserve"> </w:t>
            </w:r>
            <w:r>
              <w:drawing>
                <wp:inline xmlns:a="http://schemas.openxmlformats.org/drawingml/2006/main" xmlns:pic="http://schemas.openxmlformats.org/drawingml/2006/picture">
                  <wp:extent cx="972000" cy="916457"/>
                  <wp:docPr id="2" name="Picture 2"/>
                  <wp:cNvGraphicFramePr>
                    <a:graphicFrameLocks noChangeAspect="1"/>
                  </wp:cNvGraphicFramePr>
                  <a:graphic>
                    <a:graphicData uri="http://schemas.openxmlformats.org/drawingml/2006/picture">
                      <pic:pic>
                        <pic:nvPicPr>
                          <pic:cNvPr id="0" name="cuve_s.jpg"/>
                          <pic:cNvPicPr/>
                        </pic:nvPicPr>
                        <pic:blipFill>
                          <a:blip r:embed="rId12"/>
                          <a:stretch>
                            <a:fillRect/>
                          </a:stretch>
                        </pic:blipFill>
                        <pic:spPr>
                          <a:xfrm>
                            <a:off x="0" y="0"/>
                            <a:ext cx="972000" cy="916457"/>
                          </a:xfrm>
                          <a:prstGeom prst="rect"/>
                        </pic:spPr>
                      </pic:pic>
                    </a:graphicData>
                  </a:graphic>
                </wp:inline>
              </w:drawing>
            </w:r>
          </w:p>
        </w:tc>
      </w:tr>
    </w:tbl>
    <w:p>
      <w:pPr>
        <w:spacing w:after="20" w:before="0"/>
      </w:pPr>
    </w:p>
    <w:tbl>
      <w:tblPr>
        <w:jc w:val="center"/>
        <w:tblLook w:firstColumn="1" w:firstRow="1" w:lastColumn="0" w:lastRow="0" w:noHBand="0" w:noVBand="1" w:val="04A0"/>
        <w:tblBorders>
          <w:top w:val="nil"/>
          <w:left w:val="nil"/>
          <w:bottom w:val="nil"/>
          <w:right w:val="nil"/>
          <w:insideH w:val="nil"/>
          <w:insideV w:val="nil"/>
        </w:tblBorders>
        <w:tblW w:w="10206" w:type="dxa"/>
        <w:tblLayout w:type="fixed"/>
      </w:tblPr>
      <w:tblGrid>
        <w:gridCol w:w="5103"/>
        <w:gridCol w:w="5103"/>
      </w:tblGrid>
      <w:tr>
        <w:tc>
          <w:tcPr>
            <w:tcW w:type="dxa" w:w="5102"/>
            <w:shd w:val="clear" w:color="auto" w:fill="E8F5EC"/>
            <w:tcMar>
              <w:top w:w="90" w:type="dxa"/>
              <w:bottom w:w="90" w:type="dxa"/>
              <w:start w:w="120" w:type="dxa"/>
              <w:end w:w="120" w:type="dxa"/>
            </w:tcMar>
          </w:tcPr>
          <w:p>
            <w:pPr>
              <w:spacing w:after="0"/>
            </w:pPr>
            <w:r>
              <w:rPr>
                <w:b/>
                <w:i w:val="0"/>
                <w:color w:val="1F1F1F"/>
                <w:sz w:val="22"/>
              </w:rPr>
              <w:t>Le marché est là</w:t>
            </w:r>
          </w:p>
          <w:p>
            <w:pPr>
              <w:spacing w:after="0"/>
            </w:pPr>
            <w:r>
              <w:rPr>
                <w:b w:val="0"/>
                <w:i w:val="0"/>
                <w:color w:val="1F1F1F"/>
                <w:sz w:val="16"/>
              </w:rPr>
              <w:t>Le ministère de la Construction a agréé des milliers de logements en 2024-2026 : Addoha (Green City, 6 299 logements), SNGI (Golf City, 3 417), AH Africa (Bassam 2, 1 529), Kaydan (Ahoué, 1 378).</w:t>
            </w:r>
          </w:p>
        </w:tc>
        <w:tc>
          <w:tcPr>
            <w:tcW w:type="dxa" w:w="5102"/>
            <w:shd w:val="clear" w:color="auto" w:fill="FFF4EC"/>
            <w:tcMar>
              <w:top w:w="90" w:type="dxa"/>
              <w:bottom w:w="90" w:type="dxa"/>
              <w:start w:w="120" w:type="dxa"/>
              <w:end w:w="120" w:type="dxa"/>
            </w:tcMar>
          </w:tcPr>
          <w:p>
            <w:pPr>
              <w:spacing w:after="0"/>
            </w:pPr>
            <w:r>
              <w:rPr>
                <w:b/>
                <w:i w:val="0"/>
                <w:color w:val="1F1F1F"/>
                <w:sz w:val="22"/>
              </w:rPr>
              <w:t>Le besoin est concret</w:t>
            </w:r>
          </w:p>
          <w:p>
            <w:pPr>
              <w:spacing w:after="0"/>
            </w:pPr>
            <w:r>
              <w:rPr>
                <w:b w:val="0"/>
                <w:i w:val="0"/>
                <w:color w:val="1F1F1F"/>
                <w:sz w:val="16"/>
              </w:rPr>
              <w:t>« L'assainissement autonome est essentiel pour traiter les eaux usées domestiques en l'absence de raccordement au réseau public » (tajplast.com). Chaque villa hors réseau a besoin d'une fosse et d'un puits.</w:t>
            </w:r>
          </w:p>
        </w:tc>
      </w:tr>
    </w:tbl>
    <w:p>
      <w:pPr>
        <w:spacing w:after="40" w:before="0"/>
      </w:pPr>
    </w:p>
    <w:p>
      <w:pPr>
        <w:keepNext/>
        <w:spacing w:after="60" w:before="0"/>
      </w:pPr>
      <w:r>
        <w:rPr>
          <w:rFonts w:ascii="Heebo" w:hAnsi="Heebo" w:eastAsia="Heebo"/>
          <w:b/>
          <w:i w:val="0"/>
          <w:color w:val="109040"/>
          <w:sz w:val="22"/>
        </w:rPr>
        <w:t>Ce que chaque décideur y gagne</w:t>
      </w:r>
    </w:p>
    <w:tbl>
      <w:tblPr>
        <w:tblLook w:firstColumn="1" w:firstRow="1" w:lastColumn="0" w:lastRow="0" w:noHBand="0" w:noVBand="1" w:val="04A0"/>
        <w:jc w:val="center"/>
        <w:tblBorders>
          <w:top w:val="single" w:sz="4" w:color="E2E2E2"/>
          <w:left w:val="single" w:sz="4" w:color="E2E2E2"/>
          <w:bottom w:val="single" w:sz="4" w:color="E2E2E2"/>
          <w:right w:val="single" w:sz="4" w:color="E2E2E2"/>
          <w:insideH w:val="single" w:sz="4" w:color="E2E2E2"/>
          <w:insideV w:val="single" w:sz="4" w:color="E2E2E2"/>
        </w:tblBorders>
        <w:tblW w:w="10206" w:type="dxa"/>
        <w:tblLayout w:type="fixed"/>
      </w:tblPr>
      <w:tblGrid>
        <w:gridCol w:w="1871"/>
        <w:gridCol w:w="2438"/>
        <w:gridCol w:w="5896"/>
      </w:tblGrid>
      <w:tr>
        <w:trPr>
          <w:tblHeader w:val="true"/>
        </w:trPr>
        <w:tc>
          <w:tcPr>
            <w:tcW w:type="dxa" w:w="1871"/>
            <w:shd w:val="clear" w:color="auto" w:fill="E84808"/>
            <w:tcMar>
              <w:top w:w="60" w:type="dxa"/>
              <w:bottom w:w="60" w:type="dxa"/>
              <w:start w:w="100" w:type="dxa"/>
              <w:end w:w="100" w:type="dxa"/>
            </w:tcMar>
          </w:tcPr>
          <w:p>
            <w:pPr>
              <w:spacing w:after="0"/>
            </w:pPr>
            <w:r>
              <w:rPr>
                <w:b/>
                <w:i w:val="0"/>
                <w:color w:val="FFFFFF"/>
                <w:sz w:val="16"/>
              </w:rPr>
              <w:t>Interlocuteur</w:t>
            </w:r>
          </w:p>
        </w:tc>
        <w:tc>
          <w:tcPr>
            <w:tcW w:type="dxa" w:w="2438"/>
            <w:shd w:val="clear" w:color="auto" w:fill="E84808"/>
            <w:tcMar>
              <w:top w:w="60" w:type="dxa"/>
              <w:bottom w:w="60" w:type="dxa"/>
              <w:start w:w="100" w:type="dxa"/>
              <w:end w:w="100" w:type="dxa"/>
            </w:tcMar>
          </w:tcPr>
          <w:p>
            <w:pPr>
              <w:spacing w:after="0"/>
            </w:pPr>
            <w:r>
              <w:rPr>
                <w:b/>
                <w:i w:val="0"/>
                <w:color w:val="FFFFFF"/>
                <w:sz w:val="16"/>
              </w:rPr>
              <w:t>Ce qui l'inquiète</w:t>
            </w:r>
          </w:p>
        </w:tc>
        <w:tc>
          <w:tcPr>
            <w:tcW w:type="dxa" w:w="5896"/>
            <w:shd w:val="clear" w:color="auto" w:fill="E84808"/>
            <w:tcMar>
              <w:top w:w="60" w:type="dxa"/>
              <w:bottom w:w="60" w:type="dxa"/>
              <w:start w:w="100" w:type="dxa"/>
              <w:end w:w="100" w:type="dxa"/>
            </w:tcMar>
          </w:tcPr>
          <w:p>
            <w:pPr>
              <w:spacing w:after="0"/>
            </w:pPr>
            <w:r>
              <w:rPr>
                <w:b/>
                <w:i w:val="0"/>
                <w:color w:val="FFFFFF"/>
                <w:sz w:val="16"/>
              </w:rPr>
              <w:t>Ce qu'on lui répond</w:t>
            </w:r>
          </w:p>
        </w:tc>
      </w:tr>
      <w:tr>
        <w:tc>
          <w:tcPr>
            <w:tcW w:type="dxa" w:w="1871"/>
            <w:tcMar>
              <w:top w:w="60" w:type="dxa"/>
              <w:bottom w:w="60" w:type="dxa"/>
              <w:start w:w="100" w:type="dxa"/>
              <w:end w:w="100" w:type="dxa"/>
            </w:tcMar>
          </w:tcPr>
          <w:p>
            <w:pPr>
              <w:spacing w:after="0"/>
            </w:pPr>
            <w:r>
              <w:rPr>
                <w:b/>
                <w:i w:val="0"/>
                <w:sz w:val="16"/>
              </w:rPr>
              <w:t>Conducteur de travaux</w:t>
            </w:r>
          </w:p>
        </w:tc>
        <w:tc>
          <w:tcPr>
            <w:tcW w:type="dxa" w:w="2438"/>
            <w:tcMar>
              <w:top w:w="60" w:type="dxa"/>
              <w:bottom w:w="60" w:type="dxa"/>
              <w:start w:w="100" w:type="dxa"/>
              <w:end w:w="100" w:type="dxa"/>
            </w:tcMar>
          </w:tcPr>
          <w:p>
            <w:pPr>
              <w:spacing w:after="0"/>
            </w:pPr>
            <w:r>
              <w:rPr>
                <w:b w:val="0"/>
                <w:i w:val="0"/>
                <w:sz w:val="16"/>
              </w:rPr>
              <w:t>Tenir le planning, ne pas immobiliser une équipe</w:t>
            </w:r>
          </w:p>
        </w:tc>
        <w:tc>
          <w:tcPr>
            <w:tcW w:type="dxa" w:w="5896"/>
            <w:tcMar>
              <w:top w:w="60" w:type="dxa"/>
              <w:bottom w:w="60" w:type="dxa"/>
              <w:start w:w="100" w:type="dxa"/>
              <w:end w:w="100" w:type="dxa"/>
            </w:tcMar>
          </w:tcPr>
          <w:p>
            <w:pPr>
              <w:spacing w:after="0"/>
            </w:pPr>
            <w:r>
              <w:rPr>
                <w:b w:val="0"/>
                <w:i w:val="0"/>
                <w:sz w:val="16"/>
              </w:rPr>
              <w:t>Un produit fini, livré prêt à poser : ni coffrage, ni maçonnerie, ni séchage de béton pour la fosse. On terrasse, on pose, on raccorde.</w:t>
            </w:r>
          </w:p>
        </w:tc>
      </w:tr>
      <w:tr>
        <w:tc>
          <w:tcPr>
            <w:tcW w:type="dxa" w:w="1871"/>
            <w:tcMar>
              <w:top w:w="60" w:type="dxa"/>
              <w:bottom w:w="60" w:type="dxa"/>
              <w:start w:w="100" w:type="dxa"/>
              <w:end w:w="100" w:type="dxa"/>
            </w:tcMar>
            <w:shd w:val="clear" w:color="auto" w:fill="F4F4F4"/>
          </w:tcPr>
          <w:p>
            <w:pPr>
              <w:spacing w:after="0"/>
            </w:pPr>
            <w:r>
              <w:rPr>
                <w:b/>
                <w:i w:val="0"/>
                <w:sz w:val="16"/>
              </w:rPr>
              <w:t>Directeur des achats</w:t>
            </w:r>
          </w:p>
        </w:tc>
        <w:tc>
          <w:tcPr>
            <w:tcW w:type="dxa" w:w="2438"/>
            <w:tcMar>
              <w:top w:w="60" w:type="dxa"/>
              <w:bottom w:w="60" w:type="dxa"/>
              <w:start w:w="100" w:type="dxa"/>
              <w:end w:w="100" w:type="dxa"/>
            </w:tcMar>
            <w:shd w:val="clear" w:color="auto" w:fill="F4F4F4"/>
          </w:tcPr>
          <w:p>
            <w:pPr>
              <w:spacing w:after="0"/>
            </w:pPr>
            <w:r>
              <w:rPr>
                <w:b w:val="0"/>
                <w:i w:val="0"/>
                <w:sz w:val="16"/>
              </w:rPr>
              <w:t>Le prix rendu chantier, un fournisseur fiable</w:t>
            </w:r>
          </w:p>
        </w:tc>
        <w:tc>
          <w:tcPr>
            <w:tcW w:type="dxa" w:w="5896"/>
            <w:tcMar>
              <w:top w:w="60" w:type="dxa"/>
              <w:bottom w:w="60" w:type="dxa"/>
              <w:start w:w="100" w:type="dxa"/>
              <w:end w:w="100" w:type="dxa"/>
            </w:tcMar>
            <w:shd w:val="clear" w:color="auto" w:fill="F4F4F4"/>
          </w:tcPr>
          <w:p>
            <w:pPr>
              <w:spacing w:after="0"/>
            </w:pPr>
            <w:r>
              <w:rPr>
                <w:b w:val="0"/>
                <w:i w:val="0"/>
                <w:sz w:val="16"/>
              </w:rPr>
              <w:t>Un fabricant local, donc pas d'attente de conteneur ni de change. Prix par lot ⟦grille BTP à fournir par Taj Plast⟧ ; livraison sur chantier ⟦conditions à confirmer⟧.</w:t>
            </w:r>
          </w:p>
        </w:tc>
      </w:tr>
      <w:tr>
        <w:tc>
          <w:tcPr>
            <w:tcW w:type="dxa" w:w="1871"/>
            <w:tcMar>
              <w:top w:w="60" w:type="dxa"/>
              <w:bottom w:w="60" w:type="dxa"/>
              <w:start w:w="100" w:type="dxa"/>
              <w:end w:w="100" w:type="dxa"/>
            </w:tcMar>
          </w:tcPr>
          <w:p>
            <w:pPr>
              <w:spacing w:after="0"/>
            </w:pPr>
            <w:r>
              <w:rPr>
                <w:b/>
                <w:i w:val="0"/>
                <w:sz w:val="16"/>
              </w:rPr>
              <w:t>Promoteur</w:t>
            </w:r>
          </w:p>
        </w:tc>
        <w:tc>
          <w:tcPr>
            <w:tcW w:type="dxa" w:w="2438"/>
            <w:tcMar>
              <w:top w:w="60" w:type="dxa"/>
              <w:bottom w:w="60" w:type="dxa"/>
              <w:start w:w="100" w:type="dxa"/>
              <w:end w:w="100" w:type="dxa"/>
            </w:tcMar>
          </w:tcPr>
          <w:p>
            <w:pPr>
              <w:spacing w:after="0"/>
            </w:pPr>
            <w:r>
              <w:rPr>
                <w:b w:val="0"/>
                <w:i w:val="0"/>
                <w:sz w:val="16"/>
              </w:rPr>
              <w:t>Les plaintes des acquéreurs après livraison</w:t>
            </w:r>
          </w:p>
        </w:tc>
        <w:tc>
          <w:tcPr>
            <w:tcW w:type="dxa" w:w="5896"/>
            <w:tcMar>
              <w:top w:w="60" w:type="dxa"/>
              <w:bottom w:w="60" w:type="dxa"/>
              <w:start w:w="100" w:type="dxa"/>
              <w:end w:w="100" w:type="dxa"/>
            </w:tcMar>
          </w:tcPr>
          <w:p>
            <w:pPr>
              <w:spacing w:after="0"/>
            </w:pPr>
            <w:r>
              <w:rPr>
                <w:b w:val="0"/>
                <w:i w:val="0"/>
                <w:sz w:val="16"/>
              </w:rPr>
              <w:t>Le plastique ne rouille pas et ne se fissure pas comme un ouvrage maçonné mal exécuté : moins de fuites, moins de reprises. ⟦Garantie et normes à préciser par Taj Plast⟧</w:t>
            </w:r>
          </w:p>
        </w:tc>
      </w:tr>
      <w:tr>
        <w:tc>
          <w:tcPr>
            <w:tcW w:type="dxa" w:w="1871"/>
            <w:tcMar>
              <w:top w:w="60" w:type="dxa"/>
              <w:bottom w:w="60" w:type="dxa"/>
              <w:start w:w="100" w:type="dxa"/>
              <w:end w:w="100" w:type="dxa"/>
            </w:tcMar>
            <w:shd w:val="clear" w:color="auto" w:fill="F4F4F4"/>
          </w:tcPr>
          <w:p>
            <w:pPr>
              <w:spacing w:after="0"/>
            </w:pPr>
            <w:r>
              <w:rPr>
                <w:b/>
                <w:i w:val="0"/>
                <w:sz w:val="16"/>
              </w:rPr>
              <w:t>Plombier-installateur</w:t>
            </w:r>
          </w:p>
        </w:tc>
        <w:tc>
          <w:tcPr>
            <w:tcW w:type="dxa" w:w="2438"/>
            <w:tcMar>
              <w:top w:w="60" w:type="dxa"/>
              <w:bottom w:w="60" w:type="dxa"/>
              <w:start w:w="100" w:type="dxa"/>
              <w:end w:w="100" w:type="dxa"/>
            </w:tcMar>
            <w:shd w:val="clear" w:color="auto" w:fill="F4F4F4"/>
          </w:tcPr>
          <w:p>
            <w:pPr>
              <w:spacing w:after="0"/>
            </w:pPr>
            <w:r>
              <w:rPr>
                <w:b w:val="0"/>
                <w:i w:val="0"/>
                <w:sz w:val="16"/>
              </w:rPr>
              <w:t>Sa marge et la facilité de pose</w:t>
            </w:r>
          </w:p>
        </w:tc>
        <w:tc>
          <w:tcPr>
            <w:tcW w:type="dxa" w:w="5896"/>
            <w:tcMar>
              <w:top w:w="60" w:type="dxa"/>
              <w:bottom w:w="60" w:type="dxa"/>
              <w:start w:w="100" w:type="dxa"/>
              <w:end w:w="100" w:type="dxa"/>
            </w:tcMar>
            <w:shd w:val="clear" w:color="auto" w:fill="F4F4F4"/>
          </w:tcPr>
          <w:p>
            <w:pPr>
              <w:spacing w:after="0"/>
            </w:pPr>
            <w:r>
              <w:rPr>
                <w:b w:val="0"/>
                <w:i w:val="0"/>
                <w:sz w:val="16"/>
              </w:rPr>
              <w:t>Le kit complet chez un seul fournisseur : fosse, puits d'infiltration, cuve et tube orange. Une formation à la pose ⟦à proposer⟧.</w:t>
            </w:r>
          </w:p>
        </w:tc>
      </w:tr>
    </w:tbl>
    <w:p>
      <w:pPr>
        <w:spacing w:after="40" w:before="0"/>
      </w:pPr>
    </w:p>
    <w:p>
      <w:pPr>
        <w:keepNext/>
        <w:spacing w:after="60" w:before="0"/>
      </w:pPr>
      <w:r>
        <w:rPr>
          <w:rFonts w:ascii="Heebo" w:hAnsi="Heebo" w:eastAsia="Heebo"/>
          <w:b/>
          <w:i w:val="0"/>
          <w:color w:val="109040"/>
          <w:sz w:val="22"/>
        </w:rPr>
        <w:t>Les objections, et la réponse</w:t>
      </w:r>
    </w:p>
    <w:tbl>
      <w:tblPr>
        <w:tblLook w:firstColumn="1" w:firstRow="1" w:lastColumn="0" w:lastRow="0" w:noHBand="0" w:noVBand="1" w:val="04A0"/>
        <w:jc w:val="center"/>
        <w:tblBorders>
          <w:top w:val="single" w:sz="4" w:color="E2E2E2"/>
          <w:left w:val="single" w:sz="4" w:color="E2E2E2"/>
          <w:bottom w:val="single" w:sz="4" w:color="E2E2E2"/>
          <w:right w:val="single" w:sz="4" w:color="E2E2E2"/>
          <w:insideH w:val="single" w:sz="4" w:color="E2E2E2"/>
          <w:insideV w:val="single" w:sz="4" w:color="E2E2E2"/>
        </w:tblBorders>
        <w:tblW w:w="10206" w:type="dxa"/>
        <w:tblLayout w:type="fixed"/>
      </w:tblPr>
      <w:tblGrid>
        <w:gridCol w:w="2835"/>
        <w:gridCol w:w="7371"/>
      </w:tblGrid>
      <w:tr>
        <w:trPr>
          <w:tblHeader w:val="true"/>
        </w:trPr>
        <w:tc>
          <w:tcPr>
            <w:tcW w:type="dxa" w:w="2835"/>
            <w:shd w:val="clear" w:color="auto" w:fill="109040"/>
            <w:tcMar>
              <w:top w:w="60" w:type="dxa"/>
              <w:bottom w:w="60" w:type="dxa"/>
              <w:start w:w="100" w:type="dxa"/>
              <w:end w:w="100" w:type="dxa"/>
            </w:tcMar>
          </w:tcPr>
          <w:p>
            <w:pPr>
              <w:spacing w:after="0"/>
            </w:pPr>
            <w:r>
              <w:rPr>
                <w:b/>
                <w:i w:val="0"/>
                <w:color w:val="FFFFFF"/>
                <w:sz w:val="16"/>
              </w:rPr>
              <w:t>Objection</w:t>
            </w:r>
          </w:p>
        </w:tc>
        <w:tc>
          <w:tcPr>
            <w:tcW w:type="dxa" w:w="7370"/>
            <w:shd w:val="clear" w:color="auto" w:fill="109040"/>
            <w:tcMar>
              <w:top w:w="60" w:type="dxa"/>
              <w:bottom w:w="60" w:type="dxa"/>
              <w:start w:w="100" w:type="dxa"/>
              <w:end w:w="100" w:type="dxa"/>
            </w:tcMar>
          </w:tcPr>
          <w:p>
            <w:pPr>
              <w:spacing w:after="0"/>
            </w:pPr>
            <w:r>
              <w:rPr>
                <w:b/>
                <w:i w:val="0"/>
                <w:color w:val="FFFFFF"/>
                <w:sz w:val="16"/>
              </w:rPr>
              <w:t>Réponse</w:t>
            </w:r>
          </w:p>
        </w:tc>
      </w:tr>
      <w:tr>
        <w:tc>
          <w:tcPr>
            <w:tcW w:type="dxa" w:w="2835"/>
            <w:tcMar>
              <w:top w:w="60" w:type="dxa"/>
              <w:bottom w:w="60" w:type="dxa"/>
              <w:start w:w="100" w:type="dxa"/>
              <w:end w:w="100" w:type="dxa"/>
            </w:tcMar>
          </w:tcPr>
          <w:p>
            <w:pPr>
              <w:spacing w:after="0"/>
            </w:pPr>
            <w:r>
              <w:rPr>
                <w:b/>
                <w:i w:val="0"/>
                <w:sz w:val="16"/>
              </w:rPr>
              <w:t>« La fosse maçonnée coûte moins cher. »</w:t>
            </w:r>
          </w:p>
        </w:tc>
        <w:tc>
          <w:tcPr>
            <w:tcW w:type="dxa" w:w="7370"/>
            <w:tcMar>
              <w:top w:w="60" w:type="dxa"/>
              <w:bottom w:w="60" w:type="dxa"/>
              <w:start w:w="100" w:type="dxa"/>
              <w:end w:w="100" w:type="dxa"/>
            </w:tcMar>
          </w:tcPr>
          <w:p>
            <w:pPr>
              <w:spacing w:after="0"/>
            </w:pPr>
            <w:r>
              <w:rPr>
                <w:b w:val="0"/>
                <w:i w:val="0"/>
                <w:sz w:val="16"/>
              </w:rPr>
              <w:t>« Comparons le coût posé, pas le prix du produit : matériaux, main-d'œuvre, jours de chantier et reprises en cas de fuite. Je vous prépare le calcul sur votre prochain lot de villas. »</w:t>
            </w:r>
          </w:p>
        </w:tc>
      </w:tr>
      <w:tr>
        <w:tc>
          <w:tcPr>
            <w:tcW w:type="dxa" w:w="2835"/>
            <w:tcMar>
              <w:top w:w="60" w:type="dxa"/>
              <w:bottom w:w="60" w:type="dxa"/>
              <w:start w:w="100" w:type="dxa"/>
              <w:end w:w="100" w:type="dxa"/>
            </w:tcMar>
            <w:shd w:val="clear" w:color="auto" w:fill="F4F4F4"/>
          </w:tcPr>
          <w:p>
            <w:pPr>
              <w:spacing w:after="0"/>
            </w:pPr>
            <w:r>
              <w:rPr>
                <w:b/>
                <w:i w:val="0"/>
                <w:sz w:val="16"/>
              </w:rPr>
              <w:t>« Le plastique, ça casse. »</w:t>
            </w:r>
          </w:p>
        </w:tc>
        <w:tc>
          <w:tcPr>
            <w:tcW w:type="dxa" w:w="7370"/>
            <w:tcMar>
              <w:top w:w="60" w:type="dxa"/>
              <w:bottom w:w="60" w:type="dxa"/>
              <w:start w:w="100" w:type="dxa"/>
              <w:end w:w="100" w:type="dxa"/>
            </w:tcMar>
            <w:shd w:val="clear" w:color="auto" w:fill="F4F4F4"/>
          </w:tcPr>
          <w:p>
            <w:pPr>
              <w:spacing w:after="0"/>
            </w:pPr>
            <w:r>
              <w:rPr>
                <w:b w:val="0"/>
                <w:i w:val="0"/>
                <w:sz w:val="16"/>
              </w:rPr>
              <w:t>« Proposons une visite de l'usine de Koumassi pour voir la fabrication, et une première pose sur une seule villa avant de généraliser. »</w:t>
            </w:r>
          </w:p>
        </w:tc>
      </w:tr>
      <w:tr>
        <w:tc>
          <w:tcPr>
            <w:tcW w:type="dxa" w:w="2835"/>
            <w:tcMar>
              <w:top w:w="60" w:type="dxa"/>
              <w:bottom w:w="60" w:type="dxa"/>
              <w:start w:w="100" w:type="dxa"/>
              <w:end w:w="100" w:type="dxa"/>
            </w:tcMar>
          </w:tcPr>
          <w:p>
            <w:pPr>
              <w:spacing w:after="0"/>
            </w:pPr>
            <w:r>
              <w:rPr>
                <w:b/>
                <w:i w:val="0"/>
                <w:sz w:val="16"/>
              </w:rPr>
              <w:t>« J'ai déjà un fournisseur de cuves. »</w:t>
            </w:r>
          </w:p>
        </w:tc>
        <w:tc>
          <w:tcPr>
            <w:tcW w:type="dxa" w:w="7370"/>
            <w:tcMar>
              <w:top w:w="60" w:type="dxa"/>
              <w:bottom w:w="60" w:type="dxa"/>
              <w:start w:w="100" w:type="dxa"/>
              <w:end w:w="100" w:type="dxa"/>
            </w:tcMar>
          </w:tcPr>
          <w:p>
            <w:pPr>
              <w:spacing w:after="0"/>
            </w:pPr>
            <w:r>
              <w:rPr>
                <w:b w:val="0"/>
                <w:i w:val="0"/>
                <w:sz w:val="16"/>
              </w:rPr>
              <w:t>« Gardez-le, et prenez-nous en deuxième source : en cas de rupture chez lui, votre chantier ne s'arrête pas. »</w:t>
            </w:r>
          </w:p>
        </w:tc>
      </w:tr>
      <w:tr>
        <w:tc>
          <w:tcPr>
            <w:tcW w:type="dxa" w:w="2835"/>
            <w:tcMar>
              <w:top w:w="60" w:type="dxa"/>
              <w:bottom w:w="60" w:type="dxa"/>
              <w:start w:w="100" w:type="dxa"/>
              <w:end w:w="100" w:type="dxa"/>
            </w:tcMar>
            <w:shd w:val="clear" w:color="auto" w:fill="F4F4F4"/>
          </w:tcPr>
          <w:p>
            <w:pPr>
              <w:spacing w:after="0"/>
            </w:pPr>
            <w:r>
              <w:rPr>
                <w:b/>
                <w:i w:val="0"/>
                <w:sz w:val="16"/>
              </w:rPr>
              <w:t>« Vous livrez sur mon chantier ? »</w:t>
            </w:r>
          </w:p>
        </w:tc>
        <w:tc>
          <w:tcPr>
            <w:tcW w:type="dxa" w:w="7370"/>
            <w:tcMar>
              <w:top w:w="60" w:type="dxa"/>
              <w:bottom w:w="60" w:type="dxa"/>
              <w:start w:w="100" w:type="dxa"/>
              <w:end w:w="100" w:type="dxa"/>
            </w:tcMar>
            <w:shd w:val="clear" w:color="auto" w:fill="F4F4F4"/>
          </w:tcPr>
          <w:p>
            <w:pPr>
              <w:spacing w:after="0"/>
            </w:pPr>
            <w:r>
              <w:rPr>
                <w:b w:val="0"/>
                <w:i w:val="0"/>
                <w:sz w:val="16"/>
              </w:rPr>
              <w:t>« Nous sommes à Koumassi : Bingerville, Songon et Ahoué sont à portée. ⟦Délai et frais de livraison à confirmer par la logistique⟧. »</w:t>
            </w:r>
          </w:p>
        </w:tc>
      </w:tr>
    </w:tbl>
    <w:p>
      <w:pPr>
        <w:spacing w:after="40" w:before="0"/>
      </w:pPr>
    </w:p>
    <w:tbl>
      <w:tblPr>
        <w:tblLook w:firstColumn="1" w:firstRow="1" w:lastColumn="0" w:lastRow="0" w:noHBand="0" w:noVBand="1" w:val="04A0"/>
        <w:tblBorders>
          <w:top w:val="nil"/>
          <w:left w:val="nil"/>
          <w:bottom w:val="nil"/>
          <w:right w:val="nil"/>
          <w:insideH w:val="nil"/>
          <w:insideV w:val="nil"/>
        </w:tblBorders>
        <w:tblW w:w="10206" w:type="dxa"/>
        <w:tblLayout w:type="fixed"/>
      </w:tblPr>
      <w:tblGrid>
        <w:gridCol w:w="10206"/>
      </w:tblGrid>
      <w:tr>
        <w:tc>
          <w:tcPr>
            <w:tcW w:type="dxa" w:w="10205"/>
            <w:shd w:val="clear" w:color="auto" w:fill="E8F5EC"/>
            <w:tcMar>
              <w:top w:w="110" w:type="dxa"/>
              <w:bottom w:w="110" w:type="dxa"/>
              <w:start w:w="160" w:type="dxa"/>
              <w:end w:w="160" w:type="dxa"/>
            </w:tcMar>
            <w:tcBorders>
              <w:left w:val="single" w:sz="24" w:color="109040"/>
            </w:tcBorders>
          </w:tcPr>
          <w:p>
            <w:pPr>
              <w:spacing w:after="40"/>
            </w:pPr>
            <w:r>
              <w:rPr>
                <w:b/>
                <w:i w:val="0"/>
                <w:sz w:val="16"/>
              </w:rPr>
              <w:t>Les comptes à ouvrir en premier :</w:t>
            </w:r>
            <w:r>
              <w:rPr>
                <w:b w:val="0"/>
                <w:i w:val="0"/>
                <w:sz w:val="16"/>
              </w:rPr>
              <w:t xml:space="preserve"> Addoha (Bingerville, Alépé), SNGI (Songon), Kaydan (Ahoué), Folourgo (logements « autonomes en eau »), AH Africa (Grand-Bassam), Contractor CI (10 000 logements sociaux annoncés avec l'ANAH). Contacts et sources : voir la cartographie des cibles.</w:t>
            </w:r>
          </w:p>
          <w:p>
            <w:pPr>
              <w:spacing w:after="40"/>
            </w:pPr>
            <w:r>
              <w:rPr>
                <w:b/>
                <w:i w:val="0"/>
                <w:sz w:val="16"/>
              </w:rPr>
              <w:t>La proposition à faire :</w:t>
            </w:r>
            <w:r>
              <w:rPr>
                <w:b w:val="0"/>
                <w:i w:val="0"/>
                <w:sz w:val="16"/>
              </w:rPr>
              <w:t xml:space="preserve"> une pose test sur un lot de villas, suivie d'un prix par lot. Toute remise, tout délai de paiement et tout engagement de délai se valident par la direction avant d'être écrits.</w:t>
            </w:r>
          </w:p>
        </w:tc>
      </w:tr>
    </w:tbl>
    <w:p>
      <w:pPr>
        <w:spacing w:after="40" w:before="0"/>
      </w:pPr>
    </w:p>
    <w:p>
      <w:pPr>
        <w:spacing w:after="0" w:before="0"/>
      </w:pPr>
      <w:r>
        <w:rPr>
          <w:b w:val="0"/>
          <w:i/>
          <w:color w:val="6B6B6B"/>
          <w:sz w:val="14"/>
        </w:rPr>
        <w:t>À compléter par Taj Plast avant diffusion : capacités et dimensions des cuves et fosses, matière, garantie, normes respectées, références de chantiers déjà livrés, grille de prix BTP. Charte relevée sur tajplast.com (logo, orange et vert) ; police Heebo et Roboto, celles du site.</w:t>
      </w:r>
    </w:p>
    <w:sectPr w:rsidR="00FC693F" w:rsidRPr="0006063C" w:rsidSect="00034616">
      <w:headerReference w:type="default" r:id="rId9"/>
      <w:footerReference w:type="default" r:id="rId10"/>
      <w:pgSz w:w="11906" w:h="16838"/>
      <w:pgMar w:top="1247" w:right="850" w:bottom="907" w:left="850"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Taj Plast · 27/10/2026 · préparé par Kouassi, Expert commercial (Yelema) · page </w:t>
    </w:r>
    <w:fldSimple w:instr="PAGE">
      <w:r>
        <w:rPr>
          <w:sz w:val="16"/>
          <w:color w:val="6B6B6B"/>
        </w:rPr>
        <w:t>1</w:t>
      </w:r>
    </w:fldSimple>
    <w:r>
      <w:rPr>
        <w:color w:val="6B6B6B"/>
        <w:sz w:val="16"/>
      </w:rPr>
      <w:t xml:space="preserve"> / </w:t>
    </w:r>
    <w:fldSimple w:instr="NUMPAGES">
      <w:r>
        <w:rPr>
          <w:sz w:val="16"/>
          <w:color w:val="6B6B6B"/>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Look w:firstColumn="1" w:firstRow="1" w:lastColumn="0" w:lastRow="0" w:noHBand="0" w:noVBand="1" w:val="04A0"/>
      <w:tblBorders>
        <w:top w:val="nil"/>
        <w:left w:val="nil"/>
        <w:bottom w:val="nil"/>
        <w:right w:val="nil"/>
        <w:insideH w:val="nil"/>
        <w:insideV w:val="nil"/>
      </w:tblBorders>
      <w:tblW w:w="10206" w:type="dxa"/>
      <w:tblLayout w:type="fixed"/>
    </w:tblPr>
    <w:tblGrid>
      <w:gridCol w:w="2835"/>
      <w:gridCol w:w="7371"/>
    </w:tblGrid>
    <w:tr>
      <w:tc>
        <w:tcPr>
          <w:tcW w:type="dxa" w:w="2835"/>
        </w:tcPr>
        <w:p>
          <w:r>
            <w:drawing>
              <wp:inline xmlns:a="http://schemas.openxmlformats.org/drawingml/2006/main" xmlns:pic="http://schemas.openxmlformats.org/drawingml/2006/picture">
                <wp:extent cx="1088417" cy="4139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088417" cy="413999"/>
                        </a:xfrm>
                        <a:prstGeom prst="rect"/>
                      </pic:spPr>
                    </pic:pic>
                  </a:graphicData>
                </a:graphic>
              </wp:inline>
            </w:drawing>
          </w:r>
        </w:p>
      </w:tc>
      <w:tc>
        <w:tcPr>
          <w:tcW w:type="dxa" w:w="7370"/>
          <w:vAlign w:val="center"/>
        </w:tcPr>
        <w:p>
          <w:pPr>
            <w:jc w:val="right"/>
          </w:pPr>
          <w:r>
            <w:rPr>
              <w:rFonts w:ascii="Roboto" w:hAnsi="Roboto"/>
              <w:color w:val="6B6B6B"/>
              <w:sz w:val="18"/>
            </w:rPr>
            <w:t>Argumentaire BTP · cuves et fosses septiques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59" w:lineRule="auto"/>
    </w:pPr>
    <w:rPr>
      <w:rFonts w:ascii="Roboto" w:hAnsi="Roboto" w:eastAsia="Roboto"/>
      <w:color w:val="1F1F1F"/>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jpg"/><Relationship Id="rId12"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