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ポタージュ</w:t>
      </w:r>
      <w:r>
        <w:rPr>
          <w:rFonts w:ascii="Times New Roman" w:hAnsi="Times New Roman"/>
          <w:sz w:val="36"/>
          <w:szCs w:val="36"/>
          <w:rtl w:val="0"/>
        </w:rPr>
        <w:t xml:space="preserve">(3) </w:t>
      </w:r>
      <w:r>
        <w:rPr>
          <w:rFonts w:ascii="Times New Roman" w:hAnsi="Times New Roman" w:hint="default"/>
          <w:sz w:val="36"/>
          <w:szCs w:val="36"/>
          <w:rtl w:val="0"/>
        </w:rPr>
        <w:t xml:space="preserve">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とろみのあるポタージュ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ポタージュ・ピュレ</w:t>
      </w: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 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原書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</w:t>
      </w:r>
      <w:r>
        <w:rPr>
          <w:rFonts w:ascii="Times" w:hAnsi="Times"/>
          <w:b w:val="1"/>
          <w:bCs w:val="1"/>
          <w:sz w:val="20"/>
          <w:szCs w:val="20"/>
          <w:rtl w:val="0"/>
        </w:rPr>
        <w:t>pp.134-136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主素材とつなぎ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：ポタージュ・ピュレの主素材として用いるのは次のとおり。１種類または数種を組み合わせた野菜、鶏、ジビエ、甲殻類。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ほぼ全てのポタージュ・ピュレにはつなぎを加える。すなわち、</w:t>
      </w: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cs="Times" w:hAnsi="Times" w:eastAsia="Times"/>
          <w:b w:val="1"/>
          <w:bCs w:val="1"/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米</w:t>
      </w:r>
      <w:r>
        <w:rPr>
          <w:rFonts w:ascii="Times" w:hAnsi="Times" w:hint="default"/>
          <w:b w:val="1"/>
          <w:bCs w:val="1"/>
          <w:sz w:val="20"/>
          <w:szCs w:val="20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鶏、甲殻類のポタージュ・ピュレおよび野菜のポタージュ・ピュレのいくつか。</w:t>
      </w: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cs="Times" w:hAnsi="Times" w:eastAsia="Times"/>
          <w:b w:val="1"/>
          <w:bCs w:val="1"/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じゃがいも</w:t>
      </w:r>
      <w:r>
        <w:rPr>
          <w:rFonts w:ascii="Times" w:hAnsi="Times" w:hint="default"/>
          <w:b w:val="1"/>
          <w:bCs w:val="1"/>
          <w:sz w:val="20"/>
          <w:szCs w:val="20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香草や、かぼちゃのように水分の多い野菜のポタージュ・ピュレ。</w:t>
      </w: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cs="Times" w:hAnsi="Times" w:eastAsia="Times"/>
          <w:b w:val="1"/>
          <w:bCs w:val="1"/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レンズ豆</w:t>
      </w:r>
      <w:r>
        <w:rPr>
          <w:rFonts w:ascii="Times" w:hAnsi="Times" w:hint="default"/>
          <w:b w:val="1"/>
          <w:bCs w:val="1"/>
          <w:sz w:val="20"/>
          <w:szCs w:val="20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ジビエのポタージュ・ピュレ。</w:t>
      </w: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cs="Times" w:hAnsi="Times" w:eastAsia="Times"/>
          <w:b w:val="1"/>
          <w:bCs w:val="1"/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バターで揚げたクルトン</w:t>
      </w:r>
      <w:r>
        <w:rPr>
          <w:rFonts w:ascii="Times" w:hAnsi="Times" w:hint="default"/>
          <w:b w:val="1"/>
          <w:bCs w:val="1"/>
          <w:sz w:val="20"/>
          <w:szCs w:val="20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昔風のポタージュ・ピュレ。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昔の料理では、他にもつなぎに用いるものはあったが、とりわけクーリとビスク</w:t>
      </w:r>
      <w:r>
        <w:rPr>
          <w:rFonts w:ascii="Times" w:cs="Times" w:hAnsi="Times" w:eastAsia="Times"/>
          <w:vertAlign w:val="superscript"/>
        </w:rPr>
        <w:endnoteReference w:id="1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には、クルトンが主に用いられていた</w:t>
      </w:r>
      <w:r>
        <w:rPr>
          <w:rFonts w:ascii="Times" w:cs="Times" w:hAnsi="Times" w:eastAsia="Times"/>
          <w:vertAlign w:val="superscript"/>
        </w:rPr>
        <w:endnoteReference w:id="2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。とてもまろやかな仕上りになるので、</w:t>
      </w:r>
      <w:r>
        <w:rPr>
          <w:rFonts w:ascii="Times" w:hAnsi="Time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現代でもこの手法を用いる価値はある。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いんげん豆やレンズ豆、じゃがいものようなでんぷん質の素材のポタージュ・ピュレにはつなぎを加える必要はない。主素材である野菜それ自体がつなぎとなるからだ。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加える液体とつなぎの分量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：ポタージュ・ピュレに加える液体は、</w:t>
      </w:r>
      <w:r>
        <w:rPr>
          <w:rFonts w:ascii="Times" w:hAnsi="Time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主素材の種類に応じて、白いコンソメ、ジビエのコンソメ、魚のコンソメを用いる。野菜のポタージュ・ピュレでは牛乳を用いる場合もある。</w:t>
      </w: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cs="Times" w:hAnsi="Times" w:eastAsia="Time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加える液体：ベースとなるピュレ</w:t>
      </w:r>
      <w:r>
        <w:rPr>
          <w:rFonts w:ascii="Times" w:hAnsi="Times"/>
          <w:b w:val="1"/>
          <w:bCs w:val="1"/>
          <w:sz w:val="20"/>
          <w:szCs w:val="20"/>
          <w:rtl w:val="0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に対して</w:t>
      </w:r>
      <w:r>
        <w:rPr>
          <w:rFonts w:ascii="Times" w:hAnsi="Times"/>
          <w:b w:val="1"/>
          <w:bCs w:val="1"/>
          <w:sz w:val="20"/>
          <w:szCs w:val="20"/>
          <w:rtl w:val="0"/>
        </w:rPr>
        <w:t>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。</w:t>
      </w: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cs="Times" w:hAnsi="Times" w:eastAsia="Times"/>
          <w:b w:val="1"/>
          <w:bCs w:val="1"/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つなぎ：</w:t>
      </w:r>
    </w:p>
    <w:p>
      <w:pPr>
        <w:pStyle w:val="フリーフォーム"/>
        <w:numPr>
          <w:ilvl w:val="1"/>
          <w:numId w:val="1"/>
        </w:numPr>
        <w:spacing w:after="240"/>
        <w:rPr>
          <w:rFonts w:eastAsia="Times" w:hint="eastAsia"/>
          <w:b w:val="1"/>
          <w:bCs w:val="1"/>
          <w:sz w:val="20"/>
          <w:szCs w:val="2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米</w:t>
      </w:r>
      <w:r>
        <w:rPr>
          <w:rFonts w:ascii="Times" w:hAnsi="Times" w:hint="default"/>
          <w:b w:val="1"/>
          <w:bCs w:val="1"/>
          <w:sz w:val="20"/>
          <w:szCs w:val="20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野菜</w:t>
      </w:r>
      <w:r>
        <w:rPr>
          <w:rFonts w:ascii="Times" w:hAnsi="Times"/>
          <w:b w:val="1"/>
          <w:bCs w:val="1"/>
          <w:sz w:val="20"/>
          <w:szCs w:val="20"/>
          <w:rtl w:val="0"/>
        </w:rPr>
        <w:t>500g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あたり</w:t>
      </w:r>
      <w:r>
        <w:rPr>
          <w:rFonts w:ascii="Times" w:hAnsi="Times"/>
          <w:b w:val="1"/>
          <w:bCs w:val="1"/>
          <w:sz w:val="20"/>
          <w:szCs w:val="20"/>
          <w:rtl w:val="0"/>
        </w:rPr>
        <w:t>85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〜</w:t>
      </w:r>
      <w:r>
        <w:rPr>
          <w:rFonts w:ascii="Times" w:hAnsi="Times"/>
          <w:b w:val="1"/>
          <w:bCs w:val="1"/>
          <w:sz w:val="20"/>
          <w:szCs w:val="20"/>
          <w:rtl w:val="0"/>
        </w:rPr>
        <w:t>120g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。鶏、ジビエ、甲殻類の身</w:t>
      </w:r>
      <w:r>
        <w:rPr>
          <w:rFonts w:ascii="Times" w:hAnsi="Times"/>
          <w:b w:val="1"/>
          <w:bCs w:val="1"/>
          <w:sz w:val="20"/>
          <w:szCs w:val="20"/>
          <w:rtl w:val="0"/>
        </w:rPr>
        <w:t>500g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あたり</w:t>
      </w:r>
      <w:r>
        <w:rPr>
          <w:rFonts w:ascii="Times" w:hAnsi="Times"/>
          <w:b w:val="1"/>
          <w:bCs w:val="1"/>
          <w:sz w:val="20"/>
          <w:szCs w:val="20"/>
          <w:rtl w:val="0"/>
        </w:rPr>
        <w:t>75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〜</w:t>
      </w:r>
      <w:r>
        <w:rPr>
          <w:rFonts w:ascii="Times" w:hAnsi="Times"/>
          <w:b w:val="1"/>
          <w:bCs w:val="1"/>
          <w:sz w:val="20"/>
          <w:szCs w:val="20"/>
          <w:rtl w:val="0"/>
        </w:rPr>
        <w:t>100g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。</w:t>
      </w:r>
    </w:p>
    <w:p>
      <w:pPr>
        <w:pStyle w:val="フリーフォーム"/>
        <w:numPr>
          <w:ilvl w:val="1"/>
          <w:numId w:val="1"/>
        </w:numPr>
        <w:spacing w:after="240"/>
        <w:rPr>
          <w:rFonts w:eastAsia="Times" w:hint="eastAsia"/>
          <w:b w:val="1"/>
          <w:bCs w:val="1"/>
          <w:sz w:val="20"/>
          <w:szCs w:val="2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レンズ豆</w:t>
      </w:r>
      <w:r>
        <w:rPr>
          <w:rFonts w:ascii="Times" w:hAnsi="Times" w:hint="default"/>
          <w:b w:val="1"/>
          <w:bCs w:val="1"/>
          <w:sz w:val="20"/>
          <w:szCs w:val="20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ジビエの肉</w:t>
      </w:r>
      <w:r>
        <w:rPr>
          <w:rFonts w:ascii="Times" w:hAnsi="Times"/>
          <w:b w:val="1"/>
          <w:bCs w:val="1"/>
          <w:sz w:val="20"/>
          <w:szCs w:val="20"/>
          <w:rtl w:val="0"/>
        </w:rPr>
        <w:t>500g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あたり</w:t>
      </w:r>
      <w:r>
        <w:rPr>
          <w:rFonts w:ascii="Times" w:hAnsi="Times"/>
          <w:b w:val="1"/>
          <w:bCs w:val="1"/>
          <w:sz w:val="20"/>
          <w:szCs w:val="20"/>
          <w:rtl w:val="0"/>
        </w:rPr>
        <w:t>190g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。</w:t>
      </w:r>
    </w:p>
    <w:p>
      <w:pPr>
        <w:pStyle w:val="フリーフォーム"/>
        <w:numPr>
          <w:ilvl w:val="1"/>
          <w:numId w:val="1"/>
        </w:numPr>
        <w:spacing w:after="240"/>
        <w:rPr>
          <w:rFonts w:eastAsia="Times" w:hint="eastAsia"/>
          <w:b w:val="1"/>
          <w:bCs w:val="1"/>
          <w:sz w:val="20"/>
          <w:szCs w:val="2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じゃがいも</w:t>
      </w:r>
      <w:r>
        <w:rPr>
          <w:rFonts w:ascii="Times" w:hAnsi="Times" w:hint="default"/>
          <w:b w:val="1"/>
          <w:bCs w:val="1"/>
          <w:sz w:val="20"/>
          <w:szCs w:val="20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香草、野菜</w:t>
      </w:r>
      <w:r>
        <w:rPr>
          <w:rFonts w:ascii="Times" w:hAnsi="Times"/>
          <w:b w:val="1"/>
          <w:bCs w:val="1"/>
          <w:sz w:val="20"/>
          <w:szCs w:val="20"/>
          <w:rtl w:val="0"/>
        </w:rPr>
        <w:t>500g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あたり</w:t>
      </w:r>
      <w:r>
        <w:rPr>
          <w:rFonts w:ascii="Times" w:hAnsi="Times"/>
          <w:b w:val="1"/>
          <w:bCs w:val="1"/>
          <w:sz w:val="20"/>
          <w:szCs w:val="20"/>
          <w:rtl w:val="0"/>
        </w:rPr>
        <w:t>250g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。</w:t>
      </w:r>
    </w:p>
    <w:p>
      <w:pPr>
        <w:pStyle w:val="フリーフォーム"/>
        <w:numPr>
          <w:ilvl w:val="1"/>
          <w:numId w:val="1"/>
        </w:numPr>
        <w:spacing w:after="240"/>
        <w:rPr>
          <w:rFonts w:ascii="Times" w:hAnsi="Times"/>
          <w:b w:val="1"/>
          <w:bCs w:val="1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バターで揚げたクルトン</w:t>
      </w:r>
      <w:r>
        <w:rPr>
          <w:rFonts w:ascii="Times" w:hAnsi="Times" w:hint="default"/>
          <w:b w:val="1"/>
          <w:bCs w:val="1"/>
          <w:sz w:val="20"/>
          <w:szCs w:val="20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野菜または甲殻類の身</w:t>
      </w:r>
      <w:r>
        <w:rPr>
          <w:rFonts w:ascii="Times" w:hAnsi="Times"/>
          <w:b w:val="1"/>
          <w:bCs w:val="1"/>
          <w:sz w:val="20"/>
          <w:szCs w:val="20"/>
          <w:rtl w:val="0"/>
        </w:rPr>
        <w:t>500g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あたり</w:t>
      </w:r>
      <w:r>
        <w:rPr>
          <w:rFonts w:ascii="Times" w:hAnsi="Times"/>
          <w:b w:val="1"/>
          <w:bCs w:val="1"/>
          <w:sz w:val="20"/>
          <w:szCs w:val="20"/>
          <w:rtl w:val="0"/>
        </w:rPr>
        <w:t>270g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作業と仕上げ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：野菜は次のいずれかの方法で処理する。</w:t>
      </w:r>
      <w:r>
        <w:rPr>
          <w:rFonts w:ascii="Times" w:hAnsi="Times"/>
          <w:rtl w:val="0"/>
        </w:rPr>
        <w:t xml:space="preserve">(a)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薄切りにした野菜</w:t>
      </w:r>
      <w:r>
        <w:rPr>
          <w:rFonts w:ascii="Times" w:hAnsi="Times"/>
          <w:rtl w:val="0"/>
        </w:rPr>
        <w:t>600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〜</w:t>
      </w:r>
      <w:r>
        <w:rPr>
          <w:rFonts w:ascii="Times" w:hAnsi="Times"/>
          <w:rtl w:val="0"/>
        </w:rPr>
        <w:t>700g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あたり</w:t>
      </w:r>
      <w:r>
        <w:rPr>
          <w:rFonts w:ascii="Times" w:hAnsi="Times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〜</w:t>
      </w:r>
      <w:r>
        <w:rPr>
          <w:rFonts w:ascii="Times" w:hAnsi="Times"/>
          <w:rtl w:val="0"/>
        </w:rPr>
        <w:t>100g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のバターでエテュヴェする。</w:t>
      </w:r>
      <w:r>
        <w:rPr>
          <w:rFonts w:ascii="Times" w:hAnsi="Times"/>
          <w:rtl w:val="0"/>
        </w:rPr>
        <w:t xml:space="preserve">(b)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薄切りにした野菜を湯通し</w:t>
      </w:r>
      <w:r>
        <w:rPr>
          <w:rFonts w:ascii="Times" w:cs="Times" w:hAnsi="Times" w:eastAsia="Times"/>
          <w:vertAlign w:val="superscript"/>
        </w:rPr>
        <w:endnoteReference w:id="3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してからバターでエテュヴェする。どちらの方法を用いるかは、本書では個々のルセットに記してある。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ジビエはサルミを調理する際と同様にロティール</w:t>
      </w:r>
      <w:r>
        <w:rPr>
          <w:rFonts w:ascii="Times" w:cs="Times" w:hAnsi="Times" w:eastAsia="Times"/>
          <w:vertAlign w:val="superscript"/>
        </w:rPr>
        <w:endnoteReference w:id="4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してから、レンズ豆とともに煮る。火が通ったら骨を外す。肉とレンズ豆を摺り潰し、布漉しした後、濃さを調節する。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鶏は白いコンソメでポシェする。つなぎに用いる米も一緒に煮る。火が通ったら骨を外し、その後はジビエのピュレと同様にする。鶏およびジビエにちょうど火が通ったところで、浮き実にする分の胸肉は別にとっておくこと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野菜のポタージュ・ピュレは、濃さを調節したらデプイエ、つまり微沸騰の状態で</w:t>
      </w:r>
      <w:r>
        <w:rPr>
          <w:rFonts w:ascii="Times" w:hAnsi="Times"/>
          <w:rtl w:val="0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〜</w:t>
      </w:r>
      <w:r>
        <w:rPr>
          <w:rFonts w:ascii="Times" w:hAnsi="Times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分間かけて不純物を取り除く。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このデプイエの作業の際、時折、冷たいコンソメを若干量加えるとよい。ピュレの中に紛れている不純物が表面に浮かび上がって、取り除きやすくなる。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鶏、ジビエ、甲殻類のピュレは沸騰したら湯煎にかける。デプイエする必要はない。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どのポタージュ・ピュレも、仕上げにバターを加える直前に、目の細かいシノワで漉すこと。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仕上げは提供直前に行なう。火から外し、ポタージュ</w:t>
      </w:r>
      <w:r>
        <w:rPr>
          <w:rFonts w:ascii="Times" w:hAnsi="Times"/>
          <w:rtl w:val="0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あたり</w:t>
      </w:r>
      <w:r>
        <w:rPr>
          <w:rFonts w:ascii="Times" w:hAnsi="Times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〜</w:t>
      </w:r>
      <w:r>
        <w:rPr>
          <w:rFonts w:ascii="Times" w:hAnsi="Times"/>
          <w:rtl w:val="0"/>
        </w:rPr>
        <w:t>100g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のバターを加える。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つなぎに白いんげん豆、じゃがいも、米などのような白いでんぷん質やクルトンを用いるポタージュは、さらにつなぎとして卵黄を補ってもよい。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バターを加えたら、再沸騰させてはいけないと肝に銘じること。沸騰するとバターの風味が失なわれてしまう。ポタージュにおいて、バターの風味は明瞭でフレッシュでなくてはいけない。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略</w:t>
      </w:r>
      <w:r>
        <w:rPr>
          <w:rFonts w:ascii="Times" w:hAnsi="Times"/>
          <w:rtl w:val="0"/>
        </w:rPr>
        <w:t>)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ピュレの展開</w:t>
      </w:r>
      <w:r>
        <w:rPr>
          <w:rFonts w:ascii="Times" w:cs="Times" w:hAnsi="Times" w:eastAsia="Times"/>
          <w:vertAlign w:val="superscript"/>
        </w:rPr>
        <w:endnoteReference w:id="5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ja-JP" w:eastAsia="ja-JP"/>
        </w:rPr>
        <w:t>以下に記す方法で、ピュレの多くはポタージュ・ヴルテ、ポタージュ・クレームにすることが出来る。ポタージュ・ピュレに用いるつなぎの代わりに、鶏または魚のヴルテや薄いソース・ベシャメルを主素材に加えるの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ただし、素材によっては、ポタージュ・ピュレ以外の仕立てに出来ないものもある。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6"/>
          <w:szCs w:val="26"/>
        </w:rPr>
      </w:pP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ポタージュ・ヴルテ</w:t>
      </w:r>
      <w:r>
        <w:rPr>
          <w:rFonts w:ascii="Times" w:hAnsi="Times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原書</w:t>
      </w:r>
      <w:r>
        <w:rPr>
          <w:rFonts w:ascii="Times" w:hAnsi="Times"/>
          <w:b w:val="1"/>
          <w:bCs w:val="1"/>
          <w:sz w:val="20"/>
          <w:szCs w:val="20"/>
          <w:rtl w:val="0"/>
        </w:rPr>
        <w:t>pp.136-137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ベースとなるヴルテ</w:t>
      </w:r>
      <w:r>
        <w:rPr>
          <w:rFonts w:ascii="Times" w:cs="Times" w:hAnsi="Times" w:eastAsia="Times"/>
          <w:vertAlign w:val="superscript"/>
        </w:rPr>
        <w:endnoteReference w:id="6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フリーフォーム"/>
        <w:numPr>
          <w:ilvl w:val="1"/>
          <w:numId w:val="2"/>
        </w:numPr>
        <w:spacing w:after="240"/>
        <w:rPr>
          <w:rFonts w:eastAsia="Times" w:hint="eastAsia"/>
          <w:b w:val="1"/>
          <w:bCs w:val="1"/>
          <w:sz w:val="20"/>
          <w:szCs w:val="2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野菜のポタージュ・ヴルテの場合は、やや薄い通常のヴルテ。</w:t>
      </w:r>
    </w:p>
    <w:p>
      <w:pPr>
        <w:pStyle w:val="フリーフォーム"/>
        <w:numPr>
          <w:ilvl w:val="1"/>
          <w:numId w:val="2"/>
        </w:numPr>
        <w:spacing w:after="240"/>
        <w:rPr>
          <w:rFonts w:eastAsia="Times" w:hint="eastAsia"/>
          <w:b w:val="1"/>
          <w:bCs w:val="1"/>
          <w:sz w:val="20"/>
          <w:szCs w:val="20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鶏や魚のポタージュ・ヴルテの場合は、それぞれ対応するヴルテ。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ポタージュのベースにするヴルテは、主素材となる野菜、鶏、ジビエおよび魚に応じて、通常の白いコンソメ、鶏のコンソメ、ジビエのコンソメ、魚のコンソメ</w:t>
      </w:r>
      <w:r>
        <w:rPr>
          <w:rFonts w:ascii="Times" w:hAnsi="Times"/>
          <w:rtl w:val="0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あたり白いルゥ</w:t>
      </w:r>
      <w:r>
        <w:rPr>
          <w:rFonts w:ascii="Times" w:hAnsi="Times"/>
          <w:rtl w:val="0"/>
        </w:rPr>
        <w:t>100g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を加えて作る。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材料比率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：この方法で作るポタージュは全て、次の分量配分となる。</w:t>
      </w: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cs="Times" w:hAnsi="Times" w:eastAsia="Time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・ベースとなるヴルテはポタージュ全体の半量。</w:t>
      </w: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cs="Times" w:hAnsi="Times" w:eastAsia="Times"/>
          <w:b w:val="1"/>
          <w:bCs w:val="1"/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・ポタージュの性格を決めるピュレは全体の</w:t>
      </w:r>
      <w:r>
        <w:rPr>
          <w:rFonts w:ascii="Times" w:hAnsi="Times"/>
          <w:b w:val="1"/>
          <w:bCs w:val="1"/>
          <w:sz w:val="20"/>
          <w:szCs w:val="20"/>
          <w:rtl w:val="0"/>
        </w:rPr>
        <w:t>1/4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。</w:t>
      </w:r>
    </w:p>
    <w:p>
      <w:pPr>
        <w:pStyle w:val="フリーフォーム"/>
        <w:spacing w:after="24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cs="Times" w:hAnsi="Times" w:eastAsia="Times"/>
          <w:b w:val="1"/>
          <w:bCs w:val="1"/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・濃さを整えるのに加えるコンソメも</w:t>
      </w:r>
      <w:r>
        <w:rPr>
          <w:rFonts w:ascii="Times" w:hAnsi="Times"/>
          <w:b w:val="1"/>
          <w:bCs w:val="1"/>
          <w:sz w:val="20"/>
          <w:szCs w:val="20"/>
          <w:rtl w:val="0"/>
        </w:rPr>
        <w:t>1/4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。ただし、つなぎとして加える生クリームの分量もこれに含める。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例えば、仕上がり</w:t>
      </w:r>
      <w:r>
        <w:rPr>
          <w:rFonts w:ascii="Times" w:hAnsi="Times"/>
          <w:rtl w:val="0"/>
        </w:rPr>
        <w:t>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の「ポタージュ・ヴルテ</w:t>
      </w:r>
      <w:r>
        <w:rPr>
          <w:rFonts w:ascii="Times" w:hAnsi="Time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王妃風</w:t>
      </w:r>
      <w:r>
        <w:rPr>
          <w:rFonts w:ascii="Times" w:cs="Times" w:hAnsi="Times" w:eastAsia="Times"/>
          <w:vertAlign w:val="superscript"/>
        </w:rPr>
        <w:endnoteReference w:id="7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」の場合には分量は次のようになる。</w:t>
      </w:r>
    </w:p>
    <w:p>
      <w:pPr>
        <w:pStyle w:val="フリーフォーム"/>
        <w:spacing w:after="240"/>
        <w:ind w:left="567" w:firstLine="0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鶏のヴルテ</w:t>
      </w:r>
      <w:r>
        <w:rPr>
          <w:rFonts w:ascii="Times" w:hAnsi="Times"/>
          <w:b w:val="1"/>
          <w:bCs w:val="1"/>
          <w:sz w:val="20"/>
          <w:szCs w:val="20"/>
          <w:rtl w:val="0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。鶏のピュレ</w:t>
      </w:r>
      <w:r>
        <w:rPr>
          <w:rFonts w:ascii="Times" w:hAnsi="Times"/>
          <w:b w:val="1"/>
          <w:bCs w:val="1"/>
          <w:sz w:val="20"/>
          <w:szCs w:val="20"/>
          <w:rtl w:val="0"/>
        </w:rPr>
        <w:t>5dl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。仕上げに加える白いコンソメ</w:t>
      </w:r>
      <w:r>
        <w:rPr>
          <w:rFonts w:ascii="Times" w:hAnsi="Times"/>
          <w:b w:val="1"/>
          <w:bCs w:val="1"/>
          <w:sz w:val="20"/>
          <w:szCs w:val="20"/>
          <w:rtl w:val="0"/>
        </w:rPr>
        <w:t>3dl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。つなぎ</w:t>
      </w:r>
      <w:r>
        <w:rPr>
          <w:rFonts w:ascii="Times" w:hAnsi="Times"/>
          <w:b w:val="1"/>
          <w:bCs w:val="1"/>
          <w:sz w:val="20"/>
          <w:szCs w:val="20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生クリーム</w:t>
      </w:r>
      <w:r>
        <w:rPr>
          <w:rFonts w:ascii="Times" w:hAnsi="Times"/>
          <w:b w:val="1"/>
          <w:bCs w:val="1"/>
          <w:sz w:val="20"/>
          <w:szCs w:val="20"/>
          <w:rtl w:val="0"/>
        </w:rPr>
        <w:t>)2dl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。計</w:t>
      </w:r>
      <w:r>
        <w:rPr>
          <w:rFonts w:ascii="Times" w:hAnsi="Times"/>
          <w:b w:val="1"/>
          <w:bCs w:val="1"/>
          <w:sz w:val="20"/>
          <w:szCs w:val="20"/>
          <w:rtl w:val="0"/>
        </w:rPr>
        <w:t>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作業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フリーフォーム"/>
        <w:numPr>
          <w:ilvl w:val="0"/>
          <w:numId w:val="3"/>
        </w:numPr>
        <w:spacing w:after="240"/>
        <w:rPr>
          <w:rFonts w:eastAsia="Times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主素材が鶏や魚の場合は、予め骨を外してからベースとなるヴルテで素材を煮る。次に、肉を取り出して摺り潰し、肉を煮たヴルテでのばしてから布漉しする。このピュレにコンソメを加えて濃さを整える。</w:t>
      </w:r>
    </w:p>
    <w:p>
      <w:pPr>
        <w:pStyle w:val="フリーフォーム"/>
        <w:numPr>
          <w:ilvl w:val="0"/>
          <w:numId w:val="3"/>
        </w:numPr>
        <w:spacing w:after="240"/>
        <w:rPr>
          <w:rFonts w:ascii="Times" w:hAnsi="Times"/>
        </w:rPr>
      </w:pPr>
      <w:r>
        <w:rPr>
          <w:rFonts w:ascii="Times" w:hAnsi="Time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野菜の場合は、素材の性質に応じて、湯通ししたものをバターでエテュヴェするか、生の野菜をバターでエテュヴェしてから、ベースとなるヴルテに加える。野菜に火が通った後は上記と同様にする。</w:t>
      </w:r>
    </w:p>
    <w:p>
      <w:pPr>
        <w:pStyle w:val="フリーフォーム"/>
        <w:numPr>
          <w:ilvl w:val="0"/>
          <w:numId w:val="3"/>
        </w:numPr>
        <w:spacing w:after="240"/>
        <w:rPr>
          <w:rFonts w:eastAsia="Times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甲殻類の場合は、通常どおりミルポワを用いて火を通し、細かく摺り潰してからベースとなるヴルテに加えて煮、布漉しする。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つなぎと仕上げ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：ポタージュ・ヴルテのつなぎには、仕上り</w:t>
      </w:r>
      <w:r>
        <w:rPr>
          <w:rFonts w:ascii="Times" w:hAnsi="Times"/>
          <w:rtl w:val="0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あたり卵黄</w:t>
      </w:r>
      <w:r>
        <w:rPr>
          <w:rFonts w:ascii="Times" w:hAnsi="Time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ヶと生クリーム</w:t>
      </w:r>
      <w:r>
        <w:rPr>
          <w:rFonts w:ascii="Times" w:hAnsi="Times"/>
          <w:rtl w:val="0"/>
        </w:rPr>
        <w:t>1dl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を加える。</w:t>
      </w:r>
    </w:p>
    <w:p>
      <w:pPr>
        <w:pStyle w:val="フリーフォーム"/>
        <w:spacing w:after="240"/>
        <w:rPr>
          <w:rFonts w:ascii="Times" w:cs="Times" w:hAnsi="Times" w:eastAsia="Time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提供直前に、鍋を火から外して、</w:t>
      </w:r>
      <w:r>
        <w:rPr>
          <w:rFonts w:ascii="Times" w:hAnsi="Times"/>
          <w:rtl w:val="0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あたりバター</w:t>
      </w:r>
      <w:r>
        <w:rPr>
          <w:rFonts w:ascii="Times" w:hAnsi="Times"/>
          <w:rtl w:val="0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〜</w:t>
      </w:r>
      <w:r>
        <w:rPr>
          <w:rFonts w:ascii="Times" w:hAnsi="Times"/>
          <w:rtl w:val="0"/>
        </w:rPr>
        <w:t>100g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を加えて仕上げる。</w:t>
      </w:r>
      <w:r>
        <w:rPr>
          <w:rFonts w:ascii="Times" w:hAnsi="Time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略</w:t>
      </w:r>
      <w:r>
        <w:rPr>
          <w:rFonts w:ascii="Times" w:hAnsi="Times"/>
          <w:rtl w:val="0"/>
        </w:rPr>
        <w:t>)</w:t>
      </w:r>
    </w:p>
    <w:p>
      <w:pPr>
        <w:pStyle w:val="フリーフォーム"/>
        <w:spacing w:after="240"/>
        <w:rPr>
          <w:rFonts w:ascii="Times" w:cs="Times" w:hAnsi="Times" w:eastAsia="Times"/>
        </w:rPr>
      </w:pPr>
    </w:p>
    <w:p>
      <w:pPr>
        <w:pStyle w:val="フリーフォーム"/>
        <w:spacing w:after="240"/>
        <w:rPr>
          <w:rFonts w:ascii="Times" w:cs="Times" w:hAnsi="Times" w:eastAsia="Times"/>
        </w:rPr>
      </w:pPr>
    </w:p>
    <w:p>
      <w:pPr>
        <w:pStyle w:val="フリーフォーム"/>
        <w:spacing w:after="240"/>
        <w:rPr>
          <w:rFonts w:ascii="Times" w:cs="Times" w:hAnsi="Times" w:eastAsia="Times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ポタージュ・クレーム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原書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</w:rPr>
        <w:t>pp.137-138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ポタージュ・クレームの作り方はポタージュ・ヴルテと同じだが、以下の点が違う。</w:t>
      </w:r>
    </w:p>
    <w:p>
      <w:pPr>
        <w:pStyle w:val="本文"/>
        <w:numPr>
          <w:ilvl w:val="0"/>
          <w:numId w:val="4"/>
        </w:numPr>
        <w:spacing w:after="240"/>
        <w:rPr>
          <w:rFonts w:eastAsia="Times New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ヴルテではなく薄いソース・ベシャメルをベースとして用いる。牛乳</w:t>
      </w:r>
      <w:r>
        <w:rPr>
          <w:rFonts w:ascii="Times New Roman" w:hAnsi="Times New Roman"/>
          <w:rtl w:val="0"/>
        </w:rPr>
        <w:t>1</w:t>
      </w:r>
      <w:r>
        <w:rPr>
          <w:rFonts w:ascii="Times New Roman" w:hAnsi="Times New Roman" w:hint="default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あたり白いルゥ</w:t>
      </w:r>
      <w:r>
        <w:rPr>
          <w:rFonts w:ascii="Times New Roman" w:hAnsi="Times New Roman"/>
          <w:rtl w:val="0"/>
        </w:rPr>
        <w:t>100g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で作る。</w:t>
      </w:r>
    </w:p>
    <w:p>
      <w:pPr>
        <w:pStyle w:val="本文"/>
        <w:numPr>
          <w:ilvl w:val="0"/>
          <w:numId w:val="4"/>
        </w:numPr>
        <w:spacing w:after="240"/>
        <w:rPr>
          <w:rFonts w:eastAsia="Times New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多くの場合、仕上げに濃さを調節する際、コンソメではなく牛乳を加える。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材料比率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：ポタージュ・ヴルテと同様。つまり、ベシャメルはポタージュ全体の半量、ポタージュの性格を決めるピュレが</w:t>
      </w:r>
      <w:r>
        <w:rPr>
          <w:rFonts w:ascii="Times New Roman" w:hAnsi="Times New Roman"/>
          <w:rtl w:val="0"/>
        </w:rPr>
        <w:t>1/4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、濃さを整えるための白いコンソメまたは牛乳が</w:t>
      </w:r>
      <w:r>
        <w:rPr>
          <w:rFonts w:ascii="Times New Roman" w:hAnsi="Times New Roman"/>
          <w:rtl w:val="0"/>
        </w:rPr>
        <w:t>1/4(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仕上げに加える生クリームもこれに含める</w:t>
      </w:r>
      <w:r>
        <w:rPr>
          <w:rFonts w:ascii="Times New Roman" w:hAnsi="Times New Roman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作業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：主素材が鶏、ジビエ、野菜、甲殻類いずれの場合も、作業はポタージュ・ヴルテの項で示したのと同じ。</w:t>
      </w:r>
      <w:r>
        <w:rPr>
          <w:rFonts w:ascii="Times New Roman" w:hAnsi="Times New Roman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略</w:t>
      </w:r>
      <w:r>
        <w:rPr>
          <w:rFonts w:ascii="Times New Roman" w:hAnsi="Times New Roman"/>
          <w:rtl w:val="0"/>
        </w:rPr>
        <w:t>)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仕上げ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：提供直前に、ポタージュ</w:t>
      </w:r>
      <w:r>
        <w:rPr>
          <w:rFonts w:ascii="Times New Roman" w:hAnsi="Times New Roman"/>
          <w:rtl w:val="0"/>
        </w:rPr>
        <w:t>1</w:t>
      </w:r>
      <w:r>
        <w:rPr>
          <w:rFonts w:ascii="Times New Roman" w:hAnsi="Times New Roman" w:hint="default"/>
          <w:rtl w:val="0"/>
        </w:rPr>
        <w:t>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あたり</w:t>
      </w:r>
      <w:r>
        <w:rPr>
          <w:rFonts w:ascii="Times New Roman" w:hAnsi="Times New Roman"/>
          <w:rtl w:val="0"/>
        </w:rPr>
        <w:t>2dl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の生クリームを加える。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原注：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ポタージュ・ヴルテもポタージュ・クレームもデプイエは行なわない。ポタージュの濃さを整えたら、沸騰寸前まで温め、湯煎にかけて保温しておく。表面が乾かないようバターのかけら数片を載せる。ポタージュ・ヴルテは、供する前に卵黄、生クリーム、バターを加えて仕上げる。ポタージュ・クレームの仕上げは供する前に生クリームだけを加える。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rPr>
          <w:rFonts w:ascii="Times New Roman" w:cs="Times New Roman" w:hAnsi="Times New Roman" w:eastAsia="Times New Roman"/>
        </w:rPr>
      </w:pP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/>
        <w:rPr>
          <w:rFonts w:ascii="Times New Roman" w:cs="Times New Roman" w:hAnsi="Times New Roman" w:eastAsia="Times New Roman"/>
        </w:rPr>
      </w:pP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hAnsi="Times New Roman" w:eastAsia="Times New Roman"/>
        </w:rPr>
      </w:pP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Times New Roman" w:cs="Times New Roman" w:hAnsi="Times New Roman" w:eastAsia="Times New Roman"/>
        </w:rPr>
      </w:pPr>
    </w:p>
    <w:p>
      <w:pPr>
        <w:pStyle w:val="標準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監修</w:t>
      </w:r>
      <w:r>
        <w:rPr>
          <w:rFonts w:ascii="Times New Roman" w:hAnsi="Times New Roman" w:hint="default"/>
          <w:rtl w:val="0"/>
          <w:lang w:val="en-US"/>
        </w:rPr>
        <w:t>–––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宇田川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政喜（日仏料理協会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会長）</w:t>
      </w:r>
    </w:p>
    <w:p>
      <w:pPr>
        <w:pStyle w:val="標準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解説</w:t>
      </w:r>
      <w:r>
        <w:rPr>
          <w:rFonts w:ascii="Times New Roman" w:hAnsi="Times New Roman" w:hint="default"/>
          <w:rtl w:val="0"/>
          <w:lang w:val="en-US"/>
        </w:rPr>
        <w:t xml:space="preserve">–––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脇坂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尚（「サラマンジェ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ド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イザシ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ワキサカ」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オーナーシェフ）</w:t>
      </w:r>
    </w:p>
    <w:p>
      <w:pPr>
        <w:pStyle w:val="標準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訳・注</w:t>
      </w:r>
      <w:r>
        <w:rPr>
          <w:rFonts w:ascii="Times New Roman" w:hAnsi="Times New Roman" w:hint="default"/>
          <w:rtl w:val="0"/>
          <w:lang w:val="en-US"/>
        </w:rPr>
        <w:t>–––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五島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学（フランス料理史研究家、西洋野菜生産者「レ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プゥス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eastAsia="Times New Roman" w:hint="eastAsia"/>
          <w:rtl w:val="0"/>
          <w:lang w:val="en-US"/>
        </w:rPr>
        <w:t>ヴェール」）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type="continuationNotice" w:id="-2">
    <w:p>
      <w:r>
        <w:t/>
      </w:r>
    </w:p>
  </w:endnote>
  <w:endnote w:id="1">
    <w:p>
      <w:pPr>
        <w:pStyle w:val="脚注テキスト"/>
        <w:bidi w:val="0"/>
      </w:pPr>
      <w:r>
        <w:rPr>
          <w:vertAlign w:val="superscript"/>
        </w:rPr>
        <w:endnoteRef/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 「昔の料理」におけるビスクは甲殻類のポタージュ・ピュレのことではなく、鳩などの煮込み料理のこと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hint="eastAsia"/>
          <w:rtl w:val="0"/>
          <w:lang w:val="ja-JP" w:eastAsia="ja-JP"/>
        </w:rPr>
        <w:t>本連載「ポタージュ</w:t>
      </w:r>
      <w:r>
        <w:rPr>
          <w:rFonts w:cs="Arial Unicode MS" w:eastAsia="Arial Unicode MS"/>
          <w:rtl w:val="0"/>
        </w:rPr>
        <w:t>(1)</w:t>
      </w:r>
      <w:r>
        <w:rPr>
          <w:rFonts w:ascii="Arial Unicode MS" w:cs="Arial Unicode MS" w:hAnsi="Arial Unicode MS" w:hint="eastAsia"/>
          <w:rtl w:val="0"/>
        </w:rPr>
        <w:t>」</w:t>
      </w:r>
      <w:r>
        <w:rPr>
          <w:rFonts w:cs="Arial Unicode MS" w:eastAsia="Arial Unicode MS"/>
          <w:rtl w:val="0"/>
        </w:rPr>
        <w:t>2012</w:t>
      </w:r>
      <w:r>
        <w:rPr>
          <w:rFonts w:ascii="Arial Unicode MS" w:cs="Arial Unicode MS" w:hAnsi="Arial Unicode MS" w:hint="eastAsia"/>
          <w:rtl w:val="0"/>
        </w:rPr>
        <w:t>年</w:t>
      </w:r>
      <w:r>
        <w:rPr>
          <w:rFonts w:cs="Arial Unicode MS" w:eastAsia="Arial Unicode MS"/>
          <w:rtl w:val="0"/>
        </w:rPr>
        <w:t>6</w:t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月号 </w:t>
      </w:r>
      <w:r>
        <w:rPr>
          <w:rFonts w:cs="Arial Unicode MS" w:eastAsia="Arial Unicode MS"/>
          <w:rtl w:val="0"/>
        </w:rPr>
        <w:t xml:space="preserve">p.115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参照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hint="eastAsia"/>
          <w:rtl w:val="0"/>
        </w:rPr>
        <w:t>。</w:t>
      </w:r>
    </w:p>
  </w:endnote>
  <w:endnote w:id="2">
    <w:p>
      <w:pPr>
        <w:pStyle w:val="脚注テキスト"/>
        <w:bidi w:val="0"/>
      </w:pPr>
      <w:r>
        <w:rPr>
          <w:vertAlign w:val="superscript"/>
        </w:rPr>
        <w:endnoteRef/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 中世〜</w:t>
      </w:r>
      <w:r>
        <w:rPr>
          <w:rFonts w:cs="Arial Unicode MS" w:eastAsia="Arial Unicode MS"/>
          <w:rtl w:val="0"/>
        </w:rPr>
        <w:t>18</w:t>
      </w:r>
      <w:r>
        <w:rPr>
          <w:rFonts w:ascii="Arial Unicode MS" w:cs="Arial Unicode MS" w:hAnsi="Arial Unicode MS" w:hint="eastAsia"/>
          <w:rtl w:val="0"/>
          <w:lang w:val="ja-JP" w:eastAsia="ja-JP"/>
        </w:rPr>
        <w:t>世紀には、とろみをつけるために、硬くなったパンを加えて弱火で煮込む</w:t>
      </w:r>
      <w:r>
        <w:rPr>
          <w:rFonts w:cs="Arial Unicode MS" w:eastAsia="Arial Unicode MS"/>
          <w:rtl w:val="0"/>
          <w:lang w:val="fr-FR"/>
        </w:rPr>
        <w:t xml:space="preserve">(mitonner </w:t>
      </w:r>
      <w:r>
        <w:rPr>
          <w:rFonts w:ascii="Arial Unicode MS" w:cs="Arial Unicode MS" w:hAnsi="Arial Unicode MS" w:hint="eastAsia"/>
          <w:rtl w:val="0"/>
          <w:lang w:val="ja-JP" w:eastAsia="ja-JP"/>
        </w:rPr>
        <w:t>ミトネ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hint="eastAsia"/>
          <w:rtl w:val="0"/>
          <w:lang w:val="ja-JP" w:eastAsia="ja-JP"/>
        </w:rPr>
        <w:t>ことが一般的だった。</w:t>
      </w:r>
    </w:p>
  </w:endnote>
  <w:endnote w:id="3">
    <w:p>
      <w:pPr>
        <w:pStyle w:val="脚注テキスト"/>
        <w:bidi w:val="0"/>
      </w:pPr>
      <w:r>
        <w:rPr>
          <w:vertAlign w:val="superscript"/>
        </w:rPr>
        <w:endnoteRef/>
      </w:r>
      <w:r>
        <w:rPr>
          <w:rFonts w:ascii="Arial Unicode MS" w:cs="Arial Unicode MS" w:hAnsi="Arial Unicode MS" w:hint="eastAsia"/>
          <w:rtl w:val="0"/>
        </w:rPr>
        <w:t xml:space="preserve"> 原文 </w:t>
      </w:r>
      <w:r>
        <w:rPr>
          <w:rFonts w:cs="Arial Unicode MS" w:eastAsia="Arial Unicode MS"/>
          <w:rtl w:val="0"/>
          <w:lang w:val="fr-FR"/>
        </w:rPr>
        <w:t>blanchir (</w:t>
      </w:r>
      <w:r>
        <w:rPr>
          <w:rFonts w:ascii="Arial Unicode MS" w:cs="Arial Unicode MS" w:hAnsi="Arial Unicode MS" w:hint="eastAsia"/>
          <w:rtl w:val="0"/>
          <w:lang w:val="ja-JP" w:eastAsia="ja-JP"/>
        </w:rPr>
        <w:t>ブランシール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hint="eastAsia"/>
          <w:rtl w:val="0"/>
          <w:lang w:val="ja-JP" w:eastAsia="ja-JP"/>
        </w:rPr>
        <w:t>。下茹でする、湯がくこと。野菜類のブランシールは塩を加えた湯で行なうが、素材の性質により２種に分けられる。ひとつは大量の湯で素材に完全に火が通るまで茹でること。もうひとつは刳味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hint="eastAsia"/>
          <w:rtl w:val="0"/>
          <w:lang w:val="ja-JP" w:eastAsia="ja-JP"/>
        </w:rPr>
        <w:t>アク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hint="eastAsia"/>
          <w:rtl w:val="0"/>
          <w:lang w:val="ja-JP" w:eastAsia="ja-JP"/>
        </w:rPr>
        <w:t>を除くための下茹で、湯通し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原書 </w:t>
      </w:r>
      <w:r>
        <w:rPr>
          <w:rFonts w:cs="Arial Unicode MS" w:eastAsia="Arial Unicode MS"/>
          <w:rtl w:val="0"/>
        </w:rPr>
        <w:t>p.726)</w:t>
      </w:r>
      <w:r>
        <w:rPr>
          <w:rFonts w:ascii="Arial Unicode MS" w:cs="Arial Unicode MS" w:hAnsi="Arial Unicode MS" w:hint="eastAsia"/>
          <w:rtl w:val="0"/>
          <w:lang w:val="ja-JP" w:eastAsia="ja-JP"/>
        </w:rPr>
        <w:t>。ここでは後者。</w:t>
      </w:r>
    </w:p>
  </w:endnote>
  <w:endnote w:id="4">
    <w:p>
      <w:pPr>
        <w:pStyle w:val="脚注テキスト"/>
        <w:bidi w:val="0"/>
      </w:pPr>
      <w:r>
        <w:rPr>
          <w:vertAlign w:val="superscript"/>
        </w:rPr>
        <w:endnoteRef/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 鶏、猟鳥の胸肉の部分を豚背脂のシートで包んでセニャンにロティールする。なお、「サルミ」は古くは「猟鳥肉の煮込み」の意であった。『ル・ギード・キュリネール』では、ロティールした猟鳥の肉を切り分けて保温し、摺り潰したガラと端肉を煮込んで作ったソースと合わせる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hint="eastAsia"/>
          <w:rtl w:val="0"/>
          <w:lang w:val="ja-JP" w:eastAsia="ja-JP"/>
        </w:rPr>
        <w:t>本連載「雉のサルミ」</w:t>
      </w:r>
      <w:r>
        <w:rPr>
          <w:rFonts w:cs="Arial Unicode MS" w:eastAsia="Arial Unicode MS"/>
          <w:rtl w:val="0"/>
        </w:rPr>
        <w:t>2011</w:t>
      </w:r>
      <w:r>
        <w:rPr>
          <w:rFonts w:ascii="Arial Unicode MS" w:cs="Arial Unicode MS" w:hAnsi="Arial Unicode MS" w:hint="eastAsia"/>
          <w:rtl w:val="0"/>
        </w:rPr>
        <w:t>年</w:t>
      </w:r>
      <w:r>
        <w:rPr>
          <w:rFonts w:cs="Arial Unicode MS" w:eastAsia="Arial Unicode MS"/>
          <w:rtl w:val="0"/>
        </w:rPr>
        <w:t>11</w:t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月号 </w:t>
      </w:r>
      <w:r>
        <w:rPr>
          <w:rFonts w:cs="Arial Unicode MS" w:eastAsia="Arial Unicode MS"/>
          <w:rtl w:val="0"/>
        </w:rPr>
        <w:t xml:space="preserve">pp.128-129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参照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hint="eastAsia"/>
          <w:rtl w:val="0"/>
        </w:rPr>
        <w:t>。</w:t>
      </w:r>
    </w:p>
  </w:endnote>
  <w:endnote w:id="5">
    <w:p>
      <w:pPr>
        <w:pStyle w:val="脚注テキスト"/>
        <w:bidi w:val="0"/>
      </w:pPr>
      <w:r>
        <w:rPr>
          <w:vertAlign w:val="superscript"/>
        </w:rPr>
        <w:endnoteRef/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 本連載「ポタージュ</w:t>
      </w:r>
      <w:r>
        <w:rPr>
          <w:rFonts w:cs="Arial Unicode MS" w:eastAsia="Arial Unicode MS"/>
          <w:rtl w:val="0"/>
        </w:rPr>
        <w:t>(1)</w:t>
      </w:r>
      <w:r>
        <w:rPr>
          <w:rFonts w:ascii="Arial Unicode MS" w:cs="Arial Unicode MS" w:hAnsi="Arial Unicode MS" w:hint="eastAsia"/>
          <w:rtl w:val="0"/>
        </w:rPr>
        <w:t>」</w:t>
      </w:r>
      <w:r>
        <w:rPr>
          <w:rFonts w:cs="Arial Unicode MS" w:eastAsia="Arial Unicode MS"/>
          <w:rtl w:val="0"/>
        </w:rPr>
        <w:t>2012</w:t>
      </w:r>
      <w:r>
        <w:rPr>
          <w:rFonts w:ascii="Arial Unicode MS" w:cs="Arial Unicode MS" w:hAnsi="Arial Unicode MS" w:hint="eastAsia"/>
          <w:rtl w:val="0"/>
        </w:rPr>
        <w:t>年</w:t>
      </w:r>
      <w:r>
        <w:rPr>
          <w:rFonts w:cs="Arial Unicode MS" w:eastAsia="Arial Unicode MS"/>
          <w:rtl w:val="0"/>
        </w:rPr>
        <w:t>6</w:t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月号 </w:t>
      </w:r>
      <w:r>
        <w:rPr>
          <w:rFonts w:cs="Arial Unicode MS" w:eastAsia="Arial Unicode MS"/>
          <w:rtl w:val="0"/>
        </w:rPr>
        <w:t xml:space="preserve">p.115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参照。</w:t>
      </w:r>
    </w:p>
  </w:endnote>
  <w:endnote w:id="6">
    <w:p>
      <w:pPr>
        <w:pStyle w:val="脚注テキスト"/>
        <w:bidi w:val="0"/>
      </w:pPr>
      <w:r>
        <w:rPr>
          <w:vertAlign w:val="superscript"/>
        </w:rPr>
        <w:endnoteRef/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 基本ソースとしてのヴルテ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hint="eastAsia"/>
          <w:rtl w:val="0"/>
          <w:lang w:val="ja-JP" w:eastAsia="ja-JP"/>
        </w:rPr>
        <w:t xml:space="preserve">原書 </w:t>
      </w:r>
      <w:r>
        <w:rPr>
          <w:rFonts w:cs="Arial Unicode MS" w:eastAsia="Arial Unicode MS"/>
          <w:rtl w:val="0"/>
        </w:rPr>
        <w:t>p.15)</w:t>
      </w:r>
      <w:r>
        <w:rPr>
          <w:rFonts w:ascii="Arial Unicode MS" w:cs="Arial Unicode MS" w:hAnsi="Arial Unicode MS" w:hint="eastAsia"/>
          <w:rtl w:val="0"/>
          <w:lang w:val="ja-JP" w:eastAsia="ja-JP"/>
        </w:rPr>
        <w:t>がベースとなる。</w:t>
      </w:r>
    </w:p>
  </w:endnote>
  <w:endnote w:id="7">
    <w:p>
      <w:pPr>
        <w:pStyle w:val="脚注テキスト"/>
        <w:bidi w:val="0"/>
      </w:pPr>
      <w:r>
        <w:rPr>
          <w:vertAlign w:val="superscript"/>
        </w:rPr>
        <w:endnoteRef/>
      </w:r>
      <w:r>
        <w:rPr>
          <w:rFonts w:cs="Arial Unicode MS" w:eastAsia="Arial Unicode MS" w:hint="default"/>
          <w:rtl w:val="0"/>
          <w:lang w:val="fr-FR"/>
        </w:rPr>
        <w:t xml:space="preserve"> à </w:t>
      </w:r>
      <w:r>
        <w:rPr>
          <w:rFonts w:cs="Arial Unicode MS" w:eastAsia="Arial Unicode MS"/>
          <w:rtl w:val="0"/>
          <w:lang w:val="de-DE"/>
        </w:rPr>
        <w:t>la reine (</w:t>
      </w:r>
      <w:r>
        <w:rPr>
          <w:rFonts w:ascii="Arial Unicode MS" w:cs="Arial Unicode MS" w:hAnsi="Arial Unicode MS" w:hint="eastAsia"/>
          <w:rtl w:val="0"/>
          <w:lang w:val="ja-JP" w:eastAsia="ja-JP"/>
        </w:rPr>
        <w:t>ア・ラ・レーヌ</w:t>
      </w:r>
      <w:r>
        <w:rPr>
          <w:rFonts w:cs="Arial Unicode MS" w:eastAsia="Arial Unicode MS"/>
          <w:rtl w:val="0"/>
        </w:rPr>
        <w:t xml:space="preserve">) </w:t>
      </w:r>
      <w:r>
        <w:rPr>
          <w:rFonts w:ascii="Arial Unicode MS" w:cs="Arial Unicode MS" w:hAnsi="Arial Unicode MS" w:hint="eastAsia"/>
          <w:rtl w:val="0"/>
          <w:lang w:val="ja-JP" w:eastAsia="ja-JP"/>
        </w:rPr>
        <w:t>優美で繊細な料理に用いる表現。この名称の料理には鶏を素材としたものが多い。「ポタージュ・ピュレ 王妃風」のルセットは原書</w:t>
      </w:r>
      <w:r>
        <w:rPr>
          <w:rFonts w:cs="Arial Unicode MS" w:eastAsia="Arial Unicode MS"/>
          <w:rtl w:val="0"/>
        </w:rPr>
        <w:t>p.146</w:t>
      </w:r>
      <w:r>
        <w:rPr>
          <w:rFonts w:ascii="Arial Unicode MS" w:cs="Arial Unicode MS" w:hAnsi="Arial Unicode MS" w:hint="eastAsia"/>
          <w:rtl w:val="0"/>
        </w:rPr>
        <w:t>。</w:t>
      </w:r>
    </w:p>
  </w:endnote>
</w:endnote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 W3">
    <w:charset w:val="00"/>
    <w:family w:val="roman"/>
    <w:pitch w:val="default"/>
  </w:font>
  <w:font w:name="Times">
    <w:charset w:val="00"/>
    <w:family w:val="roman"/>
    <w:pitch w:val="default"/>
  </w:font>
  <w:font w:name="Centur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</w:p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(%1)"/>
      <w:lvlJc w:val="left"/>
      <w:pPr>
        <w:ind w:left="40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ind w:left="112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ind w:left="184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56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328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00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ind w:left="472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544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ind w:left="6168" w:hanging="4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(%1)"/>
        <w:lvlJc w:val="left"/>
        <w:pPr>
          <w:ind w:left="408" w:hanging="4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(%2)"/>
        <w:lvlJc w:val="left"/>
        <w:pPr>
          <w:ind w:left="1060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(%3)"/>
        <w:lvlJc w:val="left"/>
        <w:pPr>
          <w:ind w:left="1780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(%4)"/>
        <w:lvlJc w:val="left"/>
        <w:pPr>
          <w:ind w:left="2500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3220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(%6)"/>
        <w:lvlJc w:val="left"/>
        <w:pPr>
          <w:ind w:left="3940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(%7)"/>
        <w:lvlJc w:val="left"/>
        <w:pPr>
          <w:ind w:left="4660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5380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(%9)"/>
        <w:lvlJc w:val="left"/>
        <w:pPr>
          <w:ind w:left="6100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(%1)"/>
        <w:lvlJc w:val="left"/>
        <w:pPr>
          <w:ind w:left="3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(%2)"/>
        <w:lvlJc w:val="left"/>
        <w:pPr>
          <w:ind w:left="10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(%3)"/>
        <w:lvlJc w:val="left"/>
        <w:pPr>
          <w:ind w:left="17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(%4)"/>
        <w:lvlJc w:val="left"/>
        <w:pPr>
          <w:ind w:left="25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322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(%6)"/>
        <w:lvlJc w:val="left"/>
        <w:pPr>
          <w:ind w:left="39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(%7)"/>
        <w:lvlJc w:val="left"/>
        <w:pPr>
          <w:ind w:left="46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53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(%9)"/>
        <w:lvlJc w:val="left"/>
        <w:pPr>
          <w:ind w:left="61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(%1)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(%2)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(%3)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7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(%4)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2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(%6)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94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(%7)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66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38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(%9)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100" w:hanging="3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endnotePr>
    <w:numFmt w:val="lowerRoman"/>
    <w:numRestart w:val="continuous"/>
    <w:endnote w:id="-1"/>
    <w:endnote w:id="0"/>
    <w:endnote w:id="-2"/>
  </w:end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 W3" w:cs="Arial Unicode MS" w:hAnsi="ヒラギノ角ゴ Pro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ja-JP" w:eastAsia="ja-JP"/>
    </w:rPr>
  </w:style>
  <w:style w:type="paragraph" w:styleId="フリーフォーム">
    <w:name w:val="フリーフォーム"/>
    <w:next w:val="フリーフォーム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ja-JP" w:eastAsia="ja-JP"/>
    </w:rPr>
  </w:style>
  <w:style w:type="paragraph" w:styleId="脚注テキスト">
    <w:name w:val="脚注テキスト"/>
    <w:next w:val="脚注テキス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 W3" w:cs="ヒラギノ角ゴ Pro W3" w:hAnsi="ヒラギノ角ゴ Pro W3" w:eastAsia="ヒラギノ角ゴ Pro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標準">
    <w:name w:val="標準"/>
    <w:next w:val="標準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Century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 W3"/>
        <a:ea typeface="ヒラギノ角ゴ Pro W3"/>
        <a:cs typeface="ヒラギノ角ゴ Pro W3"/>
      </a:majorFont>
      <a:minorFont>
        <a:latin typeface="ヒラギノ角ゴ Pro W3"/>
        <a:ea typeface="ヒラギノ角ゴ Pro W3"/>
        <a:cs typeface="ヒラギノ角ゴ Pro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