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E5C6" w14:textId="77777777" w:rsidR="004969AC" w:rsidRDefault="00000000">
      <w:pPr>
        <w:spacing w:after="40"/>
        <w:jc w:val="center"/>
      </w:pPr>
      <w:r>
        <w:rPr>
          <w:b/>
          <w:bCs/>
          <w:color w:val="1F4E5A"/>
          <w:sz w:val="36"/>
          <w:szCs w:val="36"/>
        </w:rPr>
        <w:t>Projeção do Consumo de Energia Elétrica no Brasil</w:t>
      </w:r>
    </w:p>
    <w:p w14:paraId="10F6913C" w14:textId="687449C1" w:rsidR="004969AC" w:rsidRDefault="00000000">
      <w:pPr>
        <w:spacing w:after="240"/>
        <w:jc w:val="center"/>
      </w:pPr>
      <w:r>
        <w:rPr>
          <w:i/>
          <w:iCs/>
          <w:color w:val="555555"/>
        </w:rPr>
        <w:t>Relatório Executivo — Case Técnico</w:t>
      </w:r>
    </w:p>
    <w:p w14:paraId="5E2E5607" w14:textId="77777777" w:rsidR="004969AC" w:rsidRDefault="00000000">
      <w:pPr>
        <w:pStyle w:val="Ttulo1"/>
      </w:pPr>
      <w:r>
        <w:t>1. Objetivo do Estudo</w:t>
      </w:r>
    </w:p>
    <w:p w14:paraId="32A74354" w14:textId="77777777" w:rsidR="004969AC" w:rsidRDefault="00000000">
      <w:pPr>
        <w:spacing w:after="120"/>
      </w:pPr>
      <w:r>
        <w:t>Este estudo tem como objetivo analisar a série histórica de consumo mensal de energia elétrica no Brasil, identificar padrões de tendência, sazonalidade e quebras estruturais, e desenvolver modelos de projeção capazes de estimar o consumo agregado nacional para os próximos 12 meses. A análise considera ainda a heterogeneidade entre submercados (SE/CO, S, NE, N) e classes de consumo (Residencial, Industrial, Comercial e Outros), incorporando essas dimensões como variáveis explicativas nos modelos.</w:t>
      </w:r>
    </w:p>
    <w:p w14:paraId="55CEBFDC" w14:textId="77777777" w:rsidR="004969AC" w:rsidRDefault="00000000">
      <w:pPr>
        <w:pStyle w:val="Ttulo1"/>
      </w:pPr>
      <w:r>
        <w:t>2. Descrição da Base de Dados</w:t>
      </w:r>
    </w:p>
    <w:p w14:paraId="77A34CA9" w14:textId="0512932C" w:rsidR="004969AC" w:rsidRDefault="00000000">
      <w:pPr>
        <w:spacing w:after="120"/>
      </w:pPr>
      <w:r>
        <w:t>A base de referência é a série "Consumo Mensal de Energia Elétrica por Classe (Regiões e Subsistemas)", publicada pela Empresa de Pesquisa Energética (EPE) em seu portal de Dados Abertos, com periodicidade mensal desde janeiro/2004. As variáveis principais são: Data (</w:t>
      </w:r>
      <w:proofErr w:type="spellStart"/>
      <w:r>
        <w:t>ano-mês</w:t>
      </w:r>
      <w:proofErr w:type="spellEnd"/>
      <w:r>
        <w:t>), Região/Subsistema (SE/CO, S, NE, N), Classe de Consumo (Residencial, Industrial, Comercial, Outros) e Consumo (</w:t>
      </w:r>
      <w:r w:rsidR="007043C8">
        <w:t>M</w:t>
      </w:r>
      <w:r>
        <w:t>Wh).</w:t>
      </w:r>
    </w:p>
    <w:p w14:paraId="4EC0E542" w14:textId="77777777" w:rsidR="004969AC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Fonte: EPE — Dados Abertos do Consumo Mensal de Energia Elétrica (epe.gov.br/pt/publicacoes-dados-abertos/dados-abertos/dados-do-consumo-mensal-de-energia-eletrica).</w:t>
      </w:r>
    </w:p>
    <w:p w14:paraId="6A696BF6" w14:textId="77777777" w:rsidR="004969AC" w:rsidRDefault="00000000">
      <w:pPr>
        <w:pStyle w:val="Ttulo1"/>
      </w:pPr>
      <w:r>
        <w:t>3. Análise Descritiva dos Dados</w:t>
      </w:r>
    </w:p>
    <w:p w14:paraId="695F9F7F" w14:textId="59AD7FCE" w:rsidR="004969AC" w:rsidRDefault="007C0814">
      <w:pPr>
        <w:jc w:val="center"/>
      </w:pPr>
      <w:r>
        <w:rPr>
          <w:noProof/>
        </w:rPr>
        <w:drawing>
          <wp:inline distT="0" distB="0" distL="0" distR="0" wp14:anchorId="7FF25313" wp14:editId="4E377192">
            <wp:extent cx="5920613" cy="3289230"/>
            <wp:effectExtent l="0" t="0" r="4445" b="6985"/>
            <wp:docPr id="9557801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822" cy="329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476B0E4" w14:textId="77777777" w:rsidR="004969AC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Figura 1 — Série histórica do consumo nacional mensal e média móvel de 12 meses.</w:t>
      </w:r>
    </w:p>
    <w:p w14:paraId="286CE7EE" w14:textId="65DFBE8D" w:rsidR="004969AC" w:rsidRDefault="00000000">
      <w:pPr>
        <w:spacing w:after="120"/>
      </w:pPr>
      <w:r>
        <w:t>A série apresenta (</w:t>
      </w:r>
      <w:r w:rsidR="007C0814">
        <w:t>I</w:t>
      </w:r>
      <w:r>
        <w:t>) tendência de crescimento de longo prazo, com taxa composta aproximada de 3% a.a.; (</w:t>
      </w:r>
      <w:r w:rsidR="007C0814">
        <w:t>II</w:t>
      </w:r>
      <w:r>
        <w:t>) forte sazonalidade anual, com picos no verão (</w:t>
      </w:r>
      <w:proofErr w:type="spellStart"/>
      <w:r>
        <w:t>jan</w:t>
      </w:r>
      <w:proofErr w:type="spellEnd"/>
      <w:r>
        <w:t xml:space="preserve">-mar), associados ao uso de </w:t>
      </w:r>
      <w:r w:rsidR="007C0814">
        <w:t>aparelhos de climatização</w:t>
      </w:r>
      <w:r>
        <w:t>, e vales em maio-junho; e (</w:t>
      </w:r>
      <w:proofErr w:type="spellStart"/>
      <w:r>
        <w:t>iii</w:t>
      </w:r>
      <w:proofErr w:type="spellEnd"/>
      <w:r>
        <w:t>) uma quebra estrutural visível entre março e dezembro de 2020, associada à pandemia de COVID-19, com retração mais acentuada nas classes Industrial e Comercial e leve elevação no Residencial (efeito home-office).</w:t>
      </w:r>
    </w:p>
    <w:p w14:paraId="750A6BC7" w14:textId="77171D96" w:rsidR="004969AC" w:rsidRDefault="007C0814">
      <w:pPr>
        <w:jc w:val="center"/>
      </w:pPr>
      <w:r>
        <w:rPr>
          <w:noProof/>
        </w:rPr>
        <w:lastRenderedPageBreak/>
        <w:drawing>
          <wp:inline distT="0" distB="0" distL="0" distR="0" wp14:anchorId="1A3A5140" wp14:editId="75F0708F">
            <wp:extent cx="5806440" cy="4064508"/>
            <wp:effectExtent l="0" t="0" r="3810" b="0"/>
            <wp:docPr id="50399536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526" cy="406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BD594B9" w14:textId="77777777" w:rsidR="004969AC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Figura 2 — Decomposição multiplicativa da série em tendência, sazonalidade e resíduo.</w:t>
      </w:r>
    </w:p>
    <w:p w14:paraId="3BB7588C" w14:textId="5A3EA96F" w:rsidR="004969AC" w:rsidRDefault="007C0814">
      <w:pPr>
        <w:jc w:val="center"/>
      </w:pPr>
      <w:r>
        <w:rPr>
          <w:noProof/>
        </w:rPr>
        <w:drawing>
          <wp:inline distT="0" distB="0" distL="0" distR="0" wp14:anchorId="1020BB61" wp14:editId="05A88CC6">
            <wp:extent cx="5806440" cy="2111171"/>
            <wp:effectExtent l="0" t="0" r="3810" b="3810"/>
            <wp:docPr id="79214774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571" cy="212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071B" w14:textId="26F857E0" w:rsidR="004969AC" w:rsidRDefault="00000000" w:rsidP="007D4CC1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Figura 3 — Variação interanual (</w:t>
      </w:r>
      <w:proofErr w:type="spellStart"/>
      <w:r>
        <w:rPr>
          <w:i/>
          <w:iCs/>
          <w:color w:val="555555"/>
          <w:sz w:val="18"/>
          <w:szCs w:val="18"/>
        </w:rPr>
        <w:t>YoY</w:t>
      </w:r>
      <w:proofErr w:type="spellEnd"/>
      <w:r>
        <w:rPr>
          <w:i/>
          <w:iCs/>
          <w:color w:val="555555"/>
          <w:sz w:val="18"/>
          <w:szCs w:val="18"/>
        </w:rPr>
        <w:t>) do consumo, com destaque para a queda em 2020 e a retomada acelerada em 2021-2022.</w:t>
      </w:r>
    </w:p>
    <w:p w14:paraId="4D9D92E4" w14:textId="0CCFFA9C" w:rsidR="004969AC" w:rsidRDefault="007C0814">
      <w:pPr>
        <w:jc w:val="center"/>
      </w:pPr>
      <w:r>
        <w:rPr>
          <w:noProof/>
        </w:rPr>
        <w:lastRenderedPageBreak/>
        <w:drawing>
          <wp:inline distT="0" distB="0" distL="0" distR="0" wp14:anchorId="73244EB5" wp14:editId="60099AF7">
            <wp:extent cx="6048770" cy="2749550"/>
            <wp:effectExtent l="0" t="0" r="9525" b="0"/>
            <wp:docPr id="119611102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631" cy="2753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06E0" w14:textId="77777777" w:rsidR="004969AC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Figura 4 — Consumo mensal por submercado: SE/CO concentra ~50% do consumo nacional e dá o tom da tendência geral; o submercado Sul apresenta sazonalidade adicional de inverno.</w:t>
      </w:r>
    </w:p>
    <w:p w14:paraId="2829953F" w14:textId="5C55DAF6" w:rsidR="004969AC" w:rsidRDefault="0098792C">
      <w:pPr>
        <w:jc w:val="center"/>
      </w:pPr>
      <w:r>
        <w:rPr>
          <w:noProof/>
        </w:rPr>
        <w:drawing>
          <wp:inline distT="0" distB="0" distL="0" distR="0" wp14:anchorId="50C432A5" wp14:editId="4FA4F06E">
            <wp:extent cx="5802908" cy="2637790"/>
            <wp:effectExtent l="0" t="0" r="7620" b="0"/>
            <wp:docPr id="109630791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378" cy="265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F4B81" w14:textId="4C59DA38" w:rsidR="004969AC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Figura 5 — Consumo por classe de consumo: Industrial e Residencial são as maiores classes; a classe Residencial mostra aceleração de crescimento pós-2021, associada à maior posse de aparelhos de ar-condicionado</w:t>
      </w:r>
      <w:r w:rsidR="0098792C">
        <w:rPr>
          <w:i/>
          <w:iCs/>
          <w:color w:val="555555"/>
          <w:sz w:val="18"/>
          <w:szCs w:val="18"/>
        </w:rPr>
        <w:t xml:space="preserve"> e outros eletrodomésticos</w:t>
      </w:r>
      <w:r>
        <w:rPr>
          <w:i/>
          <w:iCs/>
          <w:color w:val="555555"/>
          <w:sz w:val="18"/>
          <w:szCs w:val="18"/>
        </w:rPr>
        <w:t>.</w:t>
      </w:r>
    </w:p>
    <w:p w14:paraId="231087DB" w14:textId="77777777" w:rsidR="004969AC" w:rsidRDefault="00000000">
      <w:pPr>
        <w:pStyle w:val="Ttulo1"/>
      </w:pPr>
      <w:r>
        <w:t>4. Metodologia Empregada</w:t>
      </w:r>
    </w:p>
    <w:p w14:paraId="0A49632E" w14:textId="77777777" w:rsidR="00FB0623" w:rsidRDefault="00000000">
      <w:pPr>
        <w:spacing w:after="120"/>
      </w:pPr>
      <w:r>
        <w:t xml:space="preserve">Foram desenvolvidos e comparados dois modelos de projeção, ambos avaliados por </w:t>
      </w:r>
      <w:proofErr w:type="spellStart"/>
      <w:r>
        <w:t>backtesting</w:t>
      </w:r>
      <w:proofErr w:type="spellEnd"/>
      <w:r>
        <w:t xml:space="preserve"> com os últimos 12 meses observados (treino até M-12, teste nos 12 meses finais), com as métricas MAE, RMSE e MAPE</w:t>
      </w:r>
      <w:r w:rsidR="0098792C">
        <w:t>, e avaliação dos erros residuais</w:t>
      </w:r>
      <w:r w:rsidR="00FB0623">
        <w:t xml:space="preserve">. </w:t>
      </w:r>
    </w:p>
    <w:p w14:paraId="4C3896ED" w14:textId="0582CFE3" w:rsidR="004969AC" w:rsidRDefault="00FB0623">
      <w:pPr>
        <w:spacing w:after="120"/>
      </w:pPr>
      <w:r w:rsidRPr="00FB0623">
        <w:t xml:space="preserve">As métricas MAE, RMSE e MAPE quantificam o erro médio absoluto, o erro quadrático (penalizando mais os desvios grandes) e o erro percentual da projeção frente aos valores observados no </w:t>
      </w:r>
      <w:proofErr w:type="spellStart"/>
      <w:r w:rsidRPr="00FB0623">
        <w:t>backtest</w:t>
      </w:r>
      <w:proofErr w:type="spellEnd"/>
      <w:r w:rsidRPr="00FB0623">
        <w:t>, respectivamente. A análise dos resíduos (diferença entre valor real e previsto)</w:t>
      </w:r>
      <w:r>
        <w:t xml:space="preserve"> analisa a distribuição e a aleatoriedade dos erros</w:t>
      </w:r>
      <w:r w:rsidRPr="00FB0623">
        <w:t xml:space="preserve">. </w:t>
      </w:r>
    </w:p>
    <w:p w14:paraId="3202EF0B" w14:textId="77777777" w:rsidR="004969AC" w:rsidRDefault="00000000">
      <w:pPr>
        <w:pStyle w:val="Ttulo2"/>
      </w:pPr>
      <w:r>
        <w:t>4.1 Modelo 1 — SARIMAX (Série Temporal Clássica)</w:t>
      </w:r>
    </w:p>
    <w:p w14:paraId="359956E2" w14:textId="34E8B237" w:rsidR="004969AC" w:rsidRDefault="00000000">
      <w:pPr>
        <w:spacing w:after="120"/>
      </w:pPr>
      <w:r>
        <w:t xml:space="preserve">Modelo </w:t>
      </w:r>
      <w:proofErr w:type="gramStart"/>
      <w:r>
        <w:t>SARIMA(</w:t>
      </w:r>
      <w:proofErr w:type="gramEnd"/>
      <w:r>
        <w:t>1,1,1</w:t>
      </w:r>
      <w:proofErr w:type="gramStart"/>
      <w:r>
        <w:t>)</w:t>
      </w:r>
      <w:r w:rsidR="0098792C">
        <w:t>,</w:t>
      </w:r>
      <w:r>
        <w:t>(</w:t>
      </w:r>
      <w:proofErr w:type="gramEnd"/>
      <w:r>
        <w:t xml:space="preserve">1,1,1)12 aplicado à série nacional agregada, com </w:t>
      </w:r>
      <w:proofErr w:type="spellStart"/>
      <w:r>
        <w:t>regressor</w:t>
      </w:r>
      <w:proofErr w:type="spellEnd"/>
      <w:r>
        <w:t xml:space="preserve"> exógeno do tipo </w:t>
      </w:r>
      <w:proofErr w:type="spellStart"/>
      <w:r>
        <w:t>dummy</w:t>
      </w:r>
      <w:proofErr w:type="spellEnd"/>
      <w:r>
        <w:t xml:space="preserve"> para o período</w:t>
      </w:r>
      <w:r w:rsidR="0098792C">
        <w:t xml:space="preserve"> crítico</w:t>
      </w:r>
      <w:r>
        <w:t xml:space="preserve"> d</w:t>
      </w:r>
      <w:r w:rsidR="0098792C">
        <w:t>a</w:t>
      </w:r>
      <w:r>
        <w:t xml:space="preserve"> pandemia (</w:t>
      </w:r>
      <w:proofErr w:type="spellStart"/>
      <w:r>
        <w:t>abr</w:t>
      </w:r>
      <w:proofErr w:type="spellEnd"/>
      <w:r>
        <w:t>-dez/2020). A diferenciação sazonal (D=1) e regular (d=1) trata a tendência e a sazonalidade anual</w:t>
      </w:r>
      <w:r w:rsidR="0098792C">
        <w:t>, e</w:t>
      </w:r>
      <w:r>
        <w:t xml:space="preserve"> o termo exógeno isola o efeito do choque de 2020 para que ele não distorça a estimação dos parâmetros sazonais.</w:t>
      </w:r>
    </w:p>
    <w:p w14:paraId="56A6E66E" w14:textId="77777777" w:rsidR="004969AC" w:rsidRDefault="00000000">
      <w:pPr>
        <w:pStyle w:val="Ttulo2"/>
      </w:pPr>
      <w:r>
        <w:lastRenderedPageBreak/>
        <w:t xml:space="preserve">4.2 Modelo 2 — SARIMAX com </w:t>
      </w:r>
      <w:proofErr w:type="spellStart"/>
      <w:r>
        <w:t>Regressores</w:t>
      </w:r>
      <w:proofErr w:type="spellEnd"/>
      <w:r>
        <w:t xml:space="preserve"> Exógenos</w:t>
      </w:r>
    </w:p>
    <w:p w14:paraId="5BE2EAFE" w14:textId="7CA03349" w:rsidR="004969AC" w:rsidRDefault="00000000">
      <w:pPr>
        <w:spacing w:after="120"/>
      </w:pPr>
      <w:r>
        <w:t xml:space="preserve">Modelo </w:t>
      </w:r>
      <w:proofErr w:type="gramStart"/>
      <w:r>
        <w:t>SARIMAX(</w:t>
      </w:r>
      <w:proofErr w:type="gramEnd"/>
      <w:r>
        <w:t>1,1,</w:t>
      </w:r>
      <w:proofErr w:type="gramStart"/>
      <w:r>
        <w:t>1)(</w:t>
      </w:r>
      <w:proofErr w:type="gramEnd"/>
      <w:r>
        <w:t xml:space="preserve">0,1,1)12 aplicado à mesma série nacional, incorporando três </w:t>
      </w:r>
      <w:proofErr w:type="spellStart"/>
      <w:r>
        <w:t>regressores</w:t>
      </w:r>
      <w:proofErr w:type="spellEnd"/>
      <w:r>
        <w:t xml:space="preserve"> exógenos: (i) participação do submercado SE/CO no consumo total (captura o peso da maior região econômica); (</w:t>
      </w:r>
      <w:proofErr w:type="spellStart"/>
      <w:r>
        <w:t>ii</w:t>
      </w:r>
      <w:proofErr w:type="spellEnd"/>
      <w:r>
        <w:t>) consumo da classe Industrial (</w:t>
      </w:r>
      <w:r w:rsidR="0098792C">
        <w:t>relacionado</w:t>
      </w:r>
      <w:r>
        <w:t xml:space="preserve"> </w:t>
      </w:r>
      <w:r w:rsidR="0098792C">
        <w:t>com a</w:t>
      </w:r>
      <w:r>
        <w:t xml:space="preserve"> atividade econômica/PIB industrial); e (</w:t>
      </w:r>
      <w:proofErr w:type="spellStart"/>
      <w:r>
        <w:t>iii</w:t>
      </w:r>
      <w:proofErr w:type="spellEnd"/>
      <w:r>
        <w:t xml:space="preserve">) </w:t>
      </w:r>
      <w:proofErr w:type="spellStart"/>
      <w:r>
        <w:t>dummy</w:t>
      </w:r>
      <w:proofErr w:type="spellEnd"/>
      <w:r>
        <w:t xml:space="preserve"> de pandemia. Os </w:t>
      </w:r>
      <w:proofErr w:type="spellStart"/>
      <w:r>
        <w:t>regressores</w:t>
      </w:r>
      <w:proofErr w:type="spellEnd"/>
      <w:r>
        <w:t xml:space="preserve"> futuros são projetados pela sazonalidade média histórica de cada variável, ajustada ao nível observado nos últimos 12 meses. Esta abordagem permite incorporar explicitamente o efeito de submercados e classes de consumo na projeção nacional</w:t>
      </w:r>
      <w:r w:rsidR="0098792C">
        <w:t>.</w:t>
      </w:r>
    </w:p>
    <w:p w14:paraId="2B5DF4BB" w14:textId="77777777" w:rsidR="004969AC" w:rsidRDefault="00000000">
      <w:pPr>
        <w:spacing w:after="120"/>
      </w:pPr>
      <w:r>
        <w:t xml:space="preserve">Em ambos os casos, após o </w:t>
      </w:r>
      <w:proofErr w:type="spellStart"/>
      <w:r>
        <w:t>backtesting</w:t>
      </w:r>
      <w:proofErr w:type="spellEnd"/>
      <w:r>
        <w:t xml:space="preserve">, os modelos foram retreinados com toda a série histórica disponível para gerar a projeção final dos 12 meses seguintes. Os </w:t>
      </w:r>
      <w:proofErr w:type="spellStart"/>
      <w:r>
        <w:t>regressores</w:t>
      </w:r>
      <w:proofErr w:type="spellEnd"/>
      <w:r>
        <w:t xml:space="preserve"> futuros do Modelo 2 foram projetados com base na média sazonal histórica de cada variável.</w:t>
      </w:r>
    </w:p>
    <w:p w14:paraId="4E827755" w14:textId="77777777" w:rsidR="004969AC" w:rsidRDefault="00000000">
      <w:pPr>
        <w:pStyle w:val="Ttulo1"/>
      </w:pPr>
      <w:r>
        <w:t>5. Resultados da Projeção</w:t>
      </w:r>
    </w:p>
    <w:p w14:paraId="7E28EA11" w14:textId="77777777" w:rsidR="004969AC" w:rsidRDefault="00000000">
      <w:pPr>
        <w:pStyle w:val="Ttulo2"/>
      </w:pPr>
      <w:r>
        <w:t>5.1 Avaliação dos Modelos (</w:t>
      </w:r>
      <w:proofErr w:type="spellStart"/>
      <w:r>
        <w:t>Backtest</w:t>
      </w:r>
      <w:proofErr w:type="spellEnd"/>
      <w:r>
        <w:t xml:space="preserve"> — últimos 12 meses)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969AC" w14:paraId="56CAF57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877D" w14:textId="77777777" w:rsidR="004969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7CE3" w14:textId="77777777" w:rsidR="004969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GWh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C5F7" w14:textId="77777777" w:rsidR="004969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RMSE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GWh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079BC" w14:textId="77777777" w:rsidR="004969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MAPE (%)</w:t>
            </w:r>
          </w:p>
        </w:tc>
      </w:tr>
      <w:tr w:rsidR="004969AC" w14:paraId="5E224B8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C937" w14:textId="77777777" w:rsidR="004969AC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Modelo 1 (SARIMAX)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22AA" w14:textId="23835B33" w:rsidR="004969AC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≈ </w:t>
            </w:r>
            <w:r w:rsidR="0098792C" w:rsidRPr="0098792C">
              <w:rPr>
                <w:color w:val="000000"/>
                <w:sz w:val="18"/>
                <w:szCs w:val="18"/>
              </w:rPr>
              <w:t>908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ABE0" w14:textId="2B47AD03" w:rsidR="004969AC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≈ </w:t>
            </w:r>
            <w:r w:rsidR="0098792C"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7B3A" w14:textId="05F4E215" w:rsidR="004969AC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≈ </w:t>
            </w:r>
            <w:r w:rsidR="0098792C">
              <w:rPr>
                <w:color w:val="000000"/>
                <w:sz w:val="18"/>
                <w:szCs w:val="18"/>
              </w:rPr>
              <w:t>1,92</w:t>
            </w:r>
            <w:r>
              <w:rPr>
                <w:color w:val="000000"/>
                <w:sz w:val="18"/>
                <w:szCs w:val="18"/>
              </w:rPr>
              <w:t>%</w:t>
            </w:r>
          </w:p>
        </w:tc>
      </w:tr>
      <w:tr w:rsidR="004969AC" w14:paraId="2E14A76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F313" w14:textId="77777777" w:rsidR="004969AC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Modelo 2 (SARIMAX + </w:t>
            </w:r>
            <w:proofErr w:type="spellStart"/>
            <w:r>
              <w:rPr>
                <w:color w:val="000000"/>
                <w:sz w:val="18"/>
                <w:szCs w:val="18"/>
              </w:rPr>
              <w:t>regressores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FDDC" w14:textId="139907BD" w:rsidR="004969AC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≈ </w:t>
            </w:r>
            <w:r w:rsidR="0098792C">
              <w:rPr>
                <w:color w:val="000000"/>
                <w:sz w:val="18"/>
                <w:szCs w:val="18"/>
              </w:rPr>
              <w:t>636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D894" w14:textId="4CE1687C" w:rsidR="004969AC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≈ </w:t>
            </w:r>
            <w:r w:rsidR="0098792C">
              <w:rPr>
                <w:color w:val="000000"/>
                <w:sz w:val="18"/>
                <w:szCs w:val="18"/>
              </w:rPr>
              <w:t>686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0A91D" w14:textId="40CB1FC4" w:rsidR="004969AC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≈ </w:t>
            </w:r>
            <w:r w:rsidR="0098792C">
              <w:rPr>
                <w:color w:val="000000"/>
                <w:sz w:val="18"/>
                <w:szCs w:val="18"/>
              </w:rPr>
              <w:t>1,35</w:t>
            </w:r>
            <w:r>
              <w:rPr>
                <w:color w:val="000000"/>
                <w:sz w:val="18"/>
                <w:szCs w:val="18"/>
              </w:rPr>
              <w:t>%</w:t>
            </w:r>
          </w:p>
        </w:tc>
      </w:tr>
    </w:tbl>
    <w:p w14:paraId="696733DE" w14:textId="77777777" w:rsidR="004969AC" w:rsidRDefault="004969AC">
      <w:pPr>
        <w:spacing w:after="120"/>
      </w:pPr>
    </w:p>
    <w:p w14:paraId="373DCBDA" w14:textId="0652AA2F" w:rsidR="004969AC" w:rsidRDefault="00000000">
      <w:pPr>
        <w:spacing w:after="120"/>
      </w:pPr>
      <w:r>
        <w:t xml:space="preserve">Ambos os modelos apresentaram erro de projeção baixo no </w:t>
      </w:r>
      <w:proofErr w:type="spellStart"/>
      <w:r>
        <w:t>backtest</w:t>
      </w:r>
      <w:proofErr w:type="spellEnd"/>
      <w:r>
        <w:t xml:space="preserve"> (MAPE &lt; </w:t>
      </w:r>
      <w:r w:rsidR="00FB0623">
        <w:t>2</w:t>
      </w:r>
      <w:r>
        <w:t xml:space="preserve">%), o que é esperado dada a forte regularidade sazonal da série. O Modelo 2 apresentou menor erro, beneficiado pelos </w:t>
      </w:r>
      <w:proofErr w:type="spellStart"/>
      <w:r>
        <w:t>regressores</w:t>
      </w:r>
      <w:proofErr w:type="spellEnd"/>
      <w:r>
        <w:t xml:space="preserve"> de submercado e classe, que ajudam a capturar mudanças de composição do consumo. </w:t>
      </w:r>
      <w:r w:rsidR="00FB0623">
        <w:t xml:space="preserve">O ideal seria </w:t>
      </w:r>
      <w:r>
        <w:t>utilizar a média dos dois modelos (ensemble) como estimativa central, reduzindo o risco de erro de especificação de um único modelo</w:t>
      </w:r>
      <w:r w:rsidR="00FB0623">
        <w:t>, porém, ao analisarmos os erros residuais dos modelos,</w:t>
      </w:r>
      <w:r w:rsidR="007D4CC1">
        <w:t xml:space="preserve"> vemos que o Modelo 1 tem o viés de extrapolar na previsão, trazendo valores mais acima do realizado em comparação com o Modelo 2. Dessa forma, utilizaremos apenas o Modelo 2, por </w:t>
      </w:r>
      <w:r w:rsidR="00ED7099">
        <w:t>ter um melhor comportamento em relação aos resíduos.</w:t>
      </w:r>
    </w:p>
    <w:p w14:paraId="56DDB123" w14:textId="1B837BBD" w:rsidR="00FB0623" w:rsidRDefault="007D4CC1" w:rsidP="00FB0623">
      <w:pPr>
        <w:spacing w:after="120"/>
        <w:jc w:val="center"/>
      </w:pPr>
      <w:r>
        <w:rPr>
          <w:noProof/>
        </w:rPr>
        <w:drawing>
          <wp:inline distT="0" distB="0" distL="0" distR="0" wp14:anchorId="798F95BE" wp14:editId="2C81ADFE">
            <wp:extent cx="6004560" cy="1501140"/>
            <wp:effectExtent l="0" t="0" r="0" b="3810"/>
            <wp:docPr id="32887622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8DE0" w14:textId="2464B5E5" w:rsidR="007D4CC1" w:rsidRDefault="00FB0623" w:rsidP="007D4CC1">
      <w:pPr>
        <w:spacing w:after="16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Figura </w:t>
      </w:r>
      <w:r>
        <w:rPr>
          <w:i/>
          <w:iCs/>
          <w:color w:val="555555"/>
          <w:sz w:val="18"/>
          <w:szCs w:val="18"/>
        </w:rPr>
        <w:t>6</w:t>
      </w:r>
      <w:r>
        <w:rPr>
          <w:i/>
          <w:iCs/>
          <w:color w:val="555555"/>
          <w:sz w:val="18"/>
          <w:szCs w:val="18"/>
        </w:rPr>
        <w:t xml:space="preserve"> — </w:t>
      </w:r>
      <w:r>
        <w:rPr>
          <w:i/>
          <w:iCs/>
          <w:color w:val="555555"/>
          <w:sz w:val="18"/>
          <w:szCs w:val="18"/>
        </w:rPr>
        <w:t>Curva residual do Modelo 1.</w:t>
      </w:r>
    </w:p>
    <w:p w14:paraId="377305FF" w14:textId="03D95214" w:rsidR="007D4CC1" w:rsidRDefault="007D4CC1" w:rsidP="00FB0623">
      <w:pPr>
        <w:spacing w:after="160"/>
        <w:jc w:val="center"/>
        <w:rPr>
          <w:i/>
          <w:iCs/>
          <w:color w:val="555555"/>
          <w:sz w:val="18"/>
          <w:szCs w:val="18"/>
        </w:rPr>
      </w:pPr>
      <w:r>
        <w:rPr>
          <w:noProof/>
        </w:rPr>
        <w:drawing>
          <wp:inline distT="0" distB="0" distL="0" distR="0" wp14:anchorId="0B86195E" wp14:editId="2FDD1615">
            <wp:extent cx="6035040" cy="1508760"/>
            <wp:effectExtent l="0" t="0" r="3810" b="0"/>
            <wp:docPr id="179681089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D8E6" w14:textId="52A47E05" w:rsidR="0098792C" w:rsidRPr="007D4CC1" w:rsidRDefault="007D4CC1" w:rsidP="007D4CC1">
      <w:pPr>
        <w:spacing w:after="16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Figura </w:t>
      </w:r>
      <w:r>
        <w:rPr>
          <w:i/>
          <w:iCs/>
          <w:color w:val="555555"/>
          <w:sz w:val="18"/>
          <w:szCs w:val="18"/>
        </w:rPr>
        <w:t>7</w:t>
      </w:r>
      <w:r>
        <w:rPr>
          <w:i/>
          <w:iCs/>
          <w:color w:val="555555"/>
          <w:sz w:val="18"/>
          <w:szCs w:val="18"/>
        </w:rPr>
        <w:t xml:space="preserve"> — Curva residual do Modelo </w:t>
      </w:r>
      <w:r>
        <w:rPr>
          <w:i/>
          <w:iCs/>
          <w:color w:val="555555"/>
          <w:sz w:val="18"/>
          <w:szCs w:val="18"/>
        </w:rPr>
        <w:t>2</w:t>
      </w:r>
      <w:r>
        <w:rPr>
          <w:i/>
          <w:iCs/>
          <w:color w:val="555555"/>
          <w:sz w:val="18"/>
          <w:szCs w:val="18"/>
        </w:rPr>
        <w:t>.</w:t>
      </w:r>
    </w:p>
    <w:p w14:paraId="58C23BDE" w14:textId="2E07AA27" w:rsidR="004969AC" w:rsidRDefault="00000000">
      <w:pPr>
        <w:pStyle w:val="Ttulo2"/>
      </w:pPr>
      <w:r>
        <w:lastRenderedPageBreak/>
        <w:t>5.2 Projeção para os Próximos 12 Meses</w:t>
      </w:r>
    </w:p>
    <w:p w14:paraId="2E7F8D0A" w14:textId="4992C342" w:rsidR="004969AC" w:rsidRDefault="00ED7099">
      <w:pPr>
        <w:jc w:val="center"/>
      </w:pPr>
      <w:r>
        <w:rPr>
          <w:noProof/>
        </w:rPr>
        <w:drawing>
          <wp:inline distT="0" distB="0" distL="0" distR="0" wp14:anchorId="288F6BD4" wp14:editId="4E2300A8">
            <wp:extent cx="5921649" cy="2691765"/>
            <wp:effectExtent l="0" t="0" r="3175" b="0"/>
            <wp:docPr id="137477397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4" cy="269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286DB" w14:textId="1780490F" w:rsidR="004969AC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Figura </w:t>
      </w:r>
      <w:r w:rsidR="00ED7099">
        <w:rPr>
          <w:i/>
          <w:iCs/>
          <w:color w:val="555555"/>
          <w:sz w:val="18"/>
          <w:szCs w:val="18"/>
        </w:rPr>
        <w:t>8</w:t>
      </w:r>
      <w:r>
        <w:rPr>
          <w:i/>
          <w:iCs/>
          <w:color w:val="555555"/>
          <w:sz w:val="18"/>
          <w:szCs w:val="18"/>
        </w:rPr>
        <w:t xml:space="preserve"> — Projeções SARIMAX (Modelo 1), SARIMAX com </w:t>
      </w:r>
      <w:proofErr w:type="spellStart"/>
      <w:r>
        <w:rPr>
          <w:i/>
          <w:iCs/>
          <w:color w:val="555555"/>
          <w:sz w:val="18"/>
          <w:szCs w:val="18"/>
        </w:rPr>
        <w:t>regressores</w:t>
      </w:r>
      <w:proofErr w:type="spellEnd"/>
      <w:r>
        <w:rPr>
          <w:i/>
          <w:iCs/>
          <w:color w:val="555555"/>
          <w:sz w:val="18"/>
          <w:szCs w:val="18"/>
        </w:rPr>
        <w:t xml:space="preserve"> (Modelo 2) e ensemble (média) para os próximos 12 meses, com histórico dos últimos 36 meses.</w:t>
      </w:r>
    </w:p>
    <w:p w14:paraId="240C79DB" w14:textId="77777777" w:rsidR="004969AC" w:rsidRDefault="004969AC">
      <w:pPr>
        <w:spacing w:after="120"/>
      </w:pPr>
    </w:p>
    <w:p w14:paraId="0DAB972F" w14:textId="2F4CB327" w:rsidR="004969AC" w:rsidRDefault="00000000">
      <w:pPr>
        <w:spacing w:after="120"/>
      </w:pPr>
      <w:r>
        <w:t xml:space="preserve">O consumo projetado </w:t>
      </w:r>
      <w:r w:rsidR="00ED7099">
        <w:t xml:space="preserve">pelo Modelo 2 </w:t>
      </w:r>
      <w:r>
        <w:t xml:space="preserve">segue o padrão sazonal histórico, com pico em </w:t>
      </w:r>
      <w:r w:rsidR="00ED7099">
        <w:t>março/</w:t>
      </w:r>
      <w:r>
        <w:t>202</w:t>
      </w:r>
      <w:r w:rsidR="00ED7099">
        <w:t>7</w:t>
      </w:r>
      <w:r>
        <w:t xml:space="preserve"> (~ </w:t>
      </w:r>
      <w:r w:rsidR="00ED7099">
        <w:t xml:space="preserve">50 </w:t>
      </w:r>
      <w:r>
        <w:t xml:space="preserve">mil </w:t>
      </w:r>
      <w:proofErr w:type="spellStart"/>
      <w:r>
        <w:t>GWh</w:t>
      </w:r>
      <w:proofErr w:type="spellEnd"/>
      <w:r>
        <w:t>) — refletindo o efeito de tendência de crescimento somado à sazonalidade — e vales relativos</w:t>
      </w:r>
      <w:r w:rsidR="00ED7099">
        <w:t xml:space="preserve"> nos períodos de inverno e primavera. </w:t>
      </w:r>
      <w:r>
        <w:t xml:space="preserve">O consumo acumulado projetado para os 12 meses seguintes totaliza aproximadamente </w:t>
      </w:r>
      <w:r w:rsidR="00ED7099">
        <w:t>567</w:t>
      </w:r>
      <w:r>
        <w:t>-</w:t>
      </w:r>
      <w:r w:rsidR="00ED7099">
        <w:t xml:space="preserve">600 </w:t>
      </w:r>
      <w:r>
        <w:t xml:space="preserve">mil </w:t>
      </w:r>
      <w:proofErr w:type="spellStart"/>
      <w:r>
        <w:t>GWh</w:t>
      </w:r>
      <w:proofErr w:type="spellEnd"/>
      <w:r>
        <w:t>, o que representa um crescimento de cerca de 3% sobre o acumulado dos 12 meses anteriores, consistente com a tendência de longo prazo identificada na análise exploratória.</w:t>
      </w:r>
      <w:r w:rsidR="002A1786">
        <w:t xml:space="preserve"> As métricas obtidas podem ser consideradas boas, devido à escala do volume de energia.</w:t>
      </w:r>
    </w:p>
    <w:p w14:paraId="0AD3AAA3" w14:textId="77777777" w:rsidR="004969AC" w:rsidRDefault="00000000">
      <w:pPr>
        <w:pStyle w:val="Ttulo1"/>
      </w:pPr>
      <w:r>
        <w:t>6. Principais Conclusões e Recomendações</w:t>
      </w:r>
    </w:p>
    <w:p w14:paraId="7545EA68" w14:textId="2F7F7740" w:rsidR="004969AC" w:rsidRDefault="00000000">
      <w:pPr>
        <w:pStyle w:val="PargrafodaLista"/>
        <w:numPr>
          <w:ilvl w:val="0"/>
          <w:numId w:val="2"/>
        </w:numPr>
        <w:spacing w:after="60"/>
      </w:pPr>
      <w:r>
        <w:t>Tendência estrutural de crescimento: o consumo nacional cresce a uma taxa composta próxima de 3% a.a., refletindo crescimento populacional, eletrificação e expansão econômica.</w:t>
      </w:r>
    </w:p>
    <w:p w14:paraId="163E84A8" w14:textId="60A662BE" w:rsidR="004969AC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Sazonalidade dominante e previsível: o padrão sazonal anual (pico no verão) explica a maior parte da variância de curto prazo, tornando modelos baseados em decomposição sazonal (SARIMAX </w:t>
      </w:r>
      <w:proofErr w:type="spellStart"/>
      <w:r>
        <w:t>univariado</w:t>
      </w:r>
      <w:proofErr w:type="spellEnd"/>
      <w:r>
        <w:t xml:space="preserve"> e SARIMAX com </w:t>
      </w:r>
      <w:proofErr w:type="spellStart"/>
      <w:r>
        <w:t>regressores</w:t>
      </w:r>
      <w:proofErr w:type="spellEnd"/>
      <w:r>
        <w:t xml:space="preserve">) bastante eficazes (MAPE &lt; </w:t>
      </w:r>
      <w:r w:rsidR="00ED7099">
        <w:t>2</w:t>
      </w:r>
      <w:r>
        <w:t>%</w:t>
      </w:r>
      <w:r w:rsidR="00ED7099">
        <w:t>).</w:t>
      </w:r>
    </w:p>
    <w:p w14:paraId="7773D1A8" w14:textId="7E9D8051" w:rsidR="004969AC" w:rsidRDefault="00000000">
      <w:pPr>
        <w:pStyle w:val="PargrafodaLista"/>
        <w:numPr>
          <w:ilvl w:val="0"/>
          <w:numId w:val="2"/>
        </w:numPr>
        <w:spacing w:after="60"/>
      </w:pPr>
      <w:r>
        <w:t>Risco de quebras estruturais: eventos como a pandemia de COVID-19 mostram que choques macroeconômicos podem deslocar o nível da série rapidamente. Recomenda-se monitorar indicadores de atividade econômica (PIB</w:t>
      </w:r>
      <w:r w:rsidR="00ED7099">
        <w:t>, por exemplo</w:t>
      </w:r>
      <w:r>
        <w:t>) como sinais de alerta antecipado.</w:t>
      </w:r>
    </w:p>
    <w:p w14:paraId="313F15D0" w14:textId="09C89964" w:rsidR="004969AC" w:rsidRDefault="00000000">
      <w:pPr>
        <w:pStyle w:val="PargrafodaLista"/>
        <w:numPr>
          <w:ilvl w:val="0"/>
          <w:numId w:val="2"/>
        </w:numPr>
        <w:spacing w:after="60"/>
      </w:pPr>
      <w:r>
        <w:t>Heterogeneidade regional e setorial: o submercado SE/CO concentra cerca de 50% do consumo e domina a tendência nacional; o submercado Sul tem sazonalidade de inverno adicional (aquecimento). Para decisões operacionais regionais</w:t>
      </w:r>
      <w:r w:rsidR="00ED7099">
        <w:t>, o ideal é analisar</w:t>
      </w:r>
      <w:r>
        <w:t xml:space="preserve"> por submercado</w:t>
      </w:r>
      <w:r w:rsidR="002A1786">
        <w:t>, adicionando variáveis de temperatura média regional.</w:t>
      </w:r>
    </w:p>
    <w:p w14:paraId="6B480A6F" w14:textId="39EEC83C" w:rsidR="004969AC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Limitações: (i) os </w:t>
      </w:r>
      <w:proofErr w:type="spellStart"/>
      <w:r>
        <w:t>regressores</w:t>
      </w:r>
      <w:proofErr w:type="spellEnd"/>
      <w:r>
        <w:t xml:space="preserve"> futuros (participação SE/CO, consumo industrial) foram projetados por sazonalidade média histórica, não captando choques futuros; (</w:t>
      </w:r>
      <w:proofErr w:type="spellStart"/>
      <w:r>
        <w:t>ii</w:t>
      </w:r>
      <w:proofErr w:type="spellEnd"/>
      <w:r>
        <w:t>) o horizonte de 12 meses não incorpora cenários macroeconômicos alternativos (recessão,</w:t>
      </w:r>
      <w:r w:rsidR="002A1786">
        <w:t xml:space="preserve"> novos data centers</w:t>
      </w:r>
      <w:r>
        <w:t>); (iii) eventos climáticos extremos (ondas de calor, secas) não são modelados explicitamente</w:t>
      </w:r>
      <w:r w:rsidR="002A1786">
        <w:t xml:space="preserve">, é necessário </w:t>
      </w:r>
      <w:r>
        <w:t>complementar com cenários qualitativos para decisões de maior risco.</w:t>
      </w:r>
    </w:p>
    <w:sectPr w:rsidR="004969A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C573B"/>
    <w:multiLevelType w:val="hybridMultilevel"/>
    <w:tmpl w:val="40263B38"/>
    <w:lvl w:ilvl="0" w:tplc="36EEA914">
      <w:start w:val="1"/>
      <w:numFmt w:val="bullet"/>
      <w:lvlText w:val="●"/>
      <w:lvlJc w:val="left"/>
      <w:pPr>
        <w:ind w:left="720" w:hanging="360"/>
      </w:pPr>
    </w:lvl>
    <w:lvl w:ilvl="1" w:tplc="CD20C5DC">
      <w:start w:val="1"/>
      <w:numFmt w:val="bullet"/>
      <w:lvlText w:val="○"/>
      <w:lvlJc w:val="left"/>
      <w:pPr>
        <w:ind w:left="1440" w:hanging="360"/>
      </w:pPr>
    </w:lvl>
    <w:lvl w:ilvl="2" w:tplc="3C2602A0">
      <w:start w:val="1"/>
      <w:numFmt w:val="bullet"/>
      <w:lvlText w:val="■"/>
      <w:lvlJc w:val="left"/>
      <w:pPr>
        <w:ind w:left="2160" w:hanging="360"/>
      </w:pPr>
    </w:lvl>
    <w:lvl w:ilvl="3" w:tplc="1480C7E6">
      <w:start w:val="1"/>
      <w:numFmt w:val="bullet"/>
      <w:lvlText w:val="●"/>
      <w:lvlJc w:val="left"/>
      <w:pPr>
        <w:ind w:left="2880" w:hanging="360"/>
      </w:pPr>
    </w:lvl>
    <w:lvl w:ilvl="4" w:tplc="6F6ACD56">
      <w:start w:val="1"/>
      <w:numFmt w:val="bullet"/>
      <w:lvlText w:val="○"/>
      <w:lvlJc w:val="left"/>
      <w:pPr>
        <w:ind w:left="3600" w:hanging="360"/>
      </w:pPr>
    </w:lvl>
    <w:lvl w:ilvl="5" w:tplc="0ECCEE88">
      <w:start w:val="1"/>
      <w:numFmt w:val="bullet"/>
      <w:lvlText w:val="■"/>
      <w:lvlJc w:val="left"/>
      <w:pPr>
        <w:ind w:left="4320" w:hanging="360"/>
      </w:pPr>
    </w:lvl>
    <w:lvl w:ilvl="6" w:tplc="64FC80B8">
      <w:start w:val="1"/>
      <w:numFmt w:val="bullet"/>
      <w:lvlText w:val="●"/>
      <w:lvlJc w:val="left"/>
      <w:pPr>
        <w:ind w:left="5040" w:hanging="360"/>
      </w:pPr>
    </w:lvl>
    <w:lvl w:ilvl="7" w:tplc="A86EFDD4">
      <w:start w:val="1"/>
      <w:numFmt w:val="bullet"/>
      <w:lvlText w:val="●"/>
      <w:lvlJc w:val="left"/>
      <w:pPr>
        <w:ind w:left="5760" w:hanging="360"/>
      </w:pPr>
    </w:lvl>
    <w:lvl w:ilvl="8" w:tplc="71EE44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BA672A"/>
    <w:multiLevelType w:val="hybridMultilevel"/>
    <w:tmpl w:val="0B9E2A66"/>
    <w:lvl w:ilvl="0" w:tplc="16F4E904">
      <w:start w:val="1"/>
      <w:numFmt w:val="bullet"/>
      <w:lvlText w:val="•"/>
      <w:lvlJc w:val="left"/>
      <w:pPr>
        <w:ind w:left="720" w:hanging="360"/>
      </w:pPr>
    </w:lvl>
    <w:lvl w:ilvl="1" w:tplc="CE04265E">
      <w:numFmt w:val="decimal"/>
      <w:lvlText w:val=""/>
      <w:lvlJc w:val="left"/>
    </w:lvl>
    <w:lvl w:ilvl="2" w:tplc="349212EC">
      <w:numFmt w:val="decimal"/>
      <w:lvlText w:val=""/>
      <w:lvlJc w:val="left"/>
    </w:lvl>
    <w:lvl w:ilvl="3" w:tplc="36BE69B8">
      <w:numFmt w:val="decimal"/>
      <w:lvlText w:val=""/>
      <w:lvlJc w:val="left"/>
    </w:lvl>
    <w:lvl w:ilvl="4" w:tplc="57282444">
      <w:numFmt w:val="decimal"/>
      <w:lvlText w:val=""/>
      <w:lvlJc w:val="left"/>
    </w:lvl>
    <w:lvl w:ilvl="5" w:tplc="960A83BC">
      <w:numFmt w:val="decimal"/>
      <w:lvlText w:val=""/>
      <w:lvlJc w:val="left"/>
    </w:lvl>
    <w:lvl w:ilvl="6" w:tplc="6262AA98">
      <w:numFmt w:val="decimal"/>
      <w:lvlText w:val=""/>
      <w:lvlJc w:val="left"/>
    </w:lvl>
    <w:lvl w:ilvl="7" w:tplc="005E80D2">
      <w:numFmt w:val="decimal"/>
      <w:lvlText w:val=""/>
      <w:lvlJc w:val="left"/>
    </w:lvl>
    <w:lvl w:ilvl="8" w:tplc="61A6B252">
      <w:numFmt w:val="decimal"/>
      <w:lvlText w:val=""/>
      <w:lvlJc w:val="left"/>
    </w:lvl>
  </w:abstractNum>
  <w:num w:numId="1" w16cid:durableId="2127044521">
    <w:abstractNumId w:val="0"/>
    <w:lvlOverride w:ilvl="0">
      <w:startOverride w:val="1"/>
    </w:lvlOverride>
  </w:num>
  <w:num w:numId="2" w16cid:durableId="3048203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9AC"/>
    <w:rsid w:val="002A1786"/>
    <w:rsid w:val="004969AC"/>
    <w:rsid w:val="005824FF"/>
    <w:rsid w:val="006D7422"/>
    <w:rsid w:val="007043C8"/>
    <w:rsid w:val="007C0814"/>
    <w:rsid w:val="007D4CC1"/>
    <w:rsid w:val="0098792C"/>
    <w:rsid w:val="00DB082E"/>
    <w:rsid w:val="00ED7099"/>
    <w:rsid w:val="00FB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0E331"/>
  <w15:docId w15:val="{C4560CE5-520D-4696-BAAB-4A72954E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CC1"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F4E5A"/>
      <w:sz w:val="30"/>
      <w:szCs w:val="30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1F4E5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1185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Lessa da Costa</cp:lastModifiedBy>
  <cp:revision>4</cp:revision>
  <cp:lastPrinted>2026-06-13T19:06:00Z</cp:lastPrinted>
  <dcterms:created xsi:type="dcterms:W3CDTF">2026-06-13T17:28:00Z</dcterms:created>
  <dcterms:modified xsi:type="dcterms:W3CDTF">2026-06-13T19:08:00Z</dcterms:modified>
</cp:coreProperties>
</file>