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薪酬福利与补贴管理制度</w:t>
      </w:r>
    </w:p>
    <w:p>
      <w:pPr>
        <w:jc w:val="center"/>
      </w:pPr>
      <w:r>
        <w:t>NovaTech 星云科技  V3.0</w:t>
      </w:r>
    </w:p>
    <w:tbl>
      <w:tblPr>
        <w:tblW w:type="auto" w:w="0"/>
        <w:tblLayout w:type="fixed"/>
        <w:tblLook w:firstColumn="1" w:firstRow="1" w:lastColumn="0" w:lastRow="0" w:noHBand="0" w:noVBand="1" w:val="04A0"/>
      </w:tblPr>
      <w:tblGrid>
        <w:gridCol w:w="2268"/>
        <w:gridCol w:w="6520"/>
      </w:tblGrid>
      <w:tr>
        <w:tc>
          <w:tcPr>
            <w:tcW w:type="dxa" w:w="2268"/>
            <w:vAlign w:val="center"/>
            <w:tcMar>
              <w:top w:w="100" w:type="dxa"/>
              <w:start w:w="120" w:type="dxa"/>
              <w:bottom w:w="100" w:type="dxa"/>
              <w:end w:w="120" w:type="dxa"/>
            </w:tcMar>
            <w:shd w:fill="D9E2F3"/>
          </w:tcPr>
          <w:p>
            <w:pPr>
              <w:spacing w:after="20"/>
            </w:pPr>
            <w:r>
              <w:rPr>
                <w:rFonts w:ascii="Microsoft YaHei" w:hAnsi="Microsoft YaHei"/>
                <w:sz w:val="18"/>
              </w:rPr>
              <w:t>文档编号</w:t>
            </w:r>
          </w:p>
        </w:tc>
        <w:tc>
          <w:tcPr>
            <w:tcW w:type="dxa" w:w="6520"/>
            <w:vAlign w:val="center"/>
            <w:tcMar>
              <w:top w:w="100" w:type="dxa"/>
              <w:start w:w="120" w:type="dxa"/>
              <w:bottom w:w="100" w:type="dxa"/>
              <w:end w:w="120" w:type="dxa"/>
            </w:tcMar>
          </w:tcPr>
          <w:p>
            <w:pPr>
              <w:spacing w:after="20"/>
            </w:pPr>
            <w:r>
              <w:rPr>
                <w:rFonts w:ascii="Microsoft YaHei" w:hAnsi="Microsoft YaHei"/>
                <w:sz w:val="18"/>
              </w:rPr>
              <w:t>NT-HR-STD-2026-004</w:t>
            </w:r>
          </w:p>
        </w:tc>
      </w:tr>
      <w:tr>
        <w:tc>
          <w:tcPr>
            <w:tcW w:type="dxa" w:w="2268"/>
            <w:vAlign w:val="center"/>
            <w:tcMar>
              <w:top w:w="100" w:type="dxa"/>
              <w:start w:w="120" w:type="dxa"/>
              <w:bottom w:w="100" w:type="dxa"/>
              <w:end w:w="120" w:type="dxa"/>
            </w:tcMar>
            <w:shd w:fill="EAF0F8"/>
          </w:tcPr>
          <w:p>
            <w:pPr>
              <w:spacing w:after="20"/>
            </w:pPr>
            <w:r>
              <w:rPr>
                <w:rFonts w:ascii="Microsoft YaHei" w:hAnsi="Microsoft YaHei"/>
                <w:sz w:val="18"/>
              </w:rPr>
              <w:t>版本</w:t>
            </w:r>
          </w:p>
        </w:tc>
        <w:tc>
          <w:tcPr>
            <w:tcW w:type="dxa" w:w="6520"/>
            <w:vAlign w:val="center"/>
            <w:tcMar>
              <w:top w:w="100" w:type="dxa"/>
              <w:start w:w="120" w:type="dxa"/>
              <w:bottom w:w="100" w:type="dxa"/>
              <w:end w:w="120" w:type="dxa"/>
            </w:tcMar>
          </w:tcPr>
          <w:p>
            <w:pPr>
              <w:spacing w:after="20"/>
            </w:pPr>
            <w:r>
              <w:rPr>
                <w:rFonts w:ascii="Microsoft YaHei" w:hAnsi="Microsoft YaHei"/>
                <w:sz w:val="18"/>
              </w:rPr>
              <w:t>V3.0</w:t>
            </w:r>
          </w:p>
        </w:tc>
      </w:tr>
      <w:tr>
        <w:tc>
          <w:tcPr>
            <w:tcW w:type="dxa" w:w="2268"/>
            <w:vAlign w:val="center"/>
            <w:tcMar>
              <w:top w:w="100" w:type="dxa"/>
              <w:start w:w="120" w:type="dxa"/>
              <w:bottom w:w="100" w:type="dxa"/>
              <w:end w:w="120" w:type="dxa"/>
            </w:tcMar>
            <w:shd w:fill="D9E2F3"/>
          </w:tcPr>
          <w:p>
            <w:pPr>
              <w:spacing w:after="20"/>
            </w:pPr>
            <w:r>
              <w:rPr>
                <w:rFonts w:ascii="Microsoft YaHei" w:hAnsi="Microsoft YaHei"/>
                <w:sz w:val="18"/>
              </w:rPr>
              <w:t>状态</w:t>
            </w:r>
          </w:p>
        </w:tc>
        <w:tc>
          <w:tcPr>
            <w:tcW w:type="dxa" w:w="6520"/>
            <w:vAlign w:val="center"/>
            <w:tcMar>
              <w:top w:w="100" w:type="dxa"/>
              <w:start w:w="120" w:type="dxa"/>
              <w:bottom w:w="100" w:type="dxa"/>
              <w:end w:w="120" w:type="dxa"/>
            </w:tcMar>
          </w:tcPr>
          <w:p>
            <w:pPr>
              <w:spacing w:after="20"/>
            </w:pPr>
            <w:r>
              <w:rPr>
                <w:rFonts w:ascii="Microsoft YaHei" w:hAnsi="Microsoft YaHei"/>
                <w:sz w:val="18"/>
              </w:rPr>
              <w:t>生效</w:t>
            </w:r>
          </w:p>
        </w:tc>
      </w:tr>
      <w:tr>
        <w:tc>
          <w:tcPr>
            <w:tcW w:type="dxa" w:w="2268"/>
            <w:vAlign w:val="center"/>
            <w:tcMar>
              <w:top w:w="100" w:type="dxa"/>
              <w:start w:w="120" w:type="dxa"/>
              <w:bottom w:w="100" w:type="dxa"/>
              <w:end w:w="120" w:type="dxa"/>
            </w:tcMar>
            <w:shd w:fill="EAF0F8"/>
          </w:tcPr>
          <w:p>
            <w:pPr>
              <w:spacing w:after="20"/>
            </w:pPr>
            <w:r>
              <w:rPr>
                <w:rFonts w:ascii="Microsoft YaHei" w:hAnsi="Microsoft YaHei"/>
                <w:sz w:val="18"/>
              </w:rPr>
              <w:t>密级</w:t>
            </w:r>
          </w:p>
        </w:tc>
        <w:tc>
          <w:tcPr>
            <w:tcW w:type="dxa" w:w="6520"/>
            <w:vAlign w:val="center"/>
            <w:tcMar>
              <w:top w:w="100" w:type="dxa"/>
              <w:start w:w="120" w:type="dxa"/>
              <w:bottom w:w="100" w:type="dxa"/>
              <w:end w:w="120" w:type="dxa"/>
            </w:tcMar>
          </w:tcPr>
          <w:p>
            <w:pPr>
              <w:spacing w:after="20"/>
            </w:pPr>
            <w:r>
              <w:rPr>
                <w:rFonts w:ascii="Microsoft YaHei" w:hAnsi="Microsoft YaHei"/>
                <w:sz w:val="18"/>
              </w:rPr>
              <w:t>内部</w:t>
            </w:r>
          </w:p>
        </w:tc>
      </w:tr>
      <w:tr>
        <w:tc>
          <w:tcPr>
            <w:tcW w:type="dxa" w:w="2268"/>
            <w:vAlign w:val="center"/>
            <w:tcMar>
              <w:top w:w="100" w:type="dxa"/>
              <w:start w:w="120" w:type="dxa"/>
              <w:bottom w:w="100" w:type="dxa"/>
              <w:end w:w="120" w:type="dxa"/>
            </w:tcMar>
            <w:shd w:fill="D9E2F3"/>
          </w:tcPr>
          <w:p>
            <w:pPr>
              <w:spacing w:after="20"/>
            </w:pPr>
            <w:r>
              <w:rPr>
                <w:rFonts w:ascii="Microsoft YaHei" w:hAnsi="Microsoft YaHei"/>
                <w:sz w:val="18"/>
              </w:rPr>
              <w:t>归口部门</w:t>
            </w:r>
          </w:p>
        </w:tc>
        <w:tc>
          <w:tcPr>
            <w:tcW w:type="dxa" w:w="6520"/>
            <w:vAlign w:val="center"/>
            <w:tcMar>
              <w:top w:w="100" w:type="dxa"/>
              <w:start w:w="120" w:type="dxa"/>
              <w:bottom w:w="100" w:type="dxa"/>
              <w:end w:w="120" w:type="dxa"/>
            </w:tcMar>
          </w:tcPr>
          <w:p>
            <w:pPr>
              <w:spacing w:after="20"/>
            </w:pPr>
            <w:r>
              <w:rPr>
                <w:rFonts w:ascii="Microsoft YaHei" w:hAnsi="Microsoft YaHei"/>
                <w:sz w:val="18"/>
              </w:rPr>
              <w:t>HR</w:t>
            </w:r>
          </w:p>
        </w:tc>
      </w:tr>
      <w:tr>
        <w:tc>
          <w:tcPr>
            <w:tcW w:type="dxa" w:w="2268"/>
            <w:vAlign w:val="center"/>
            <w:tcMar>
              <w:top w:w="100" w:type="dxa"/>
              <w:start w:w="120" w:type="dxa"/>
              <w:bottom w:w="100" w:type="dxa"/>
              <w:end w:w="120" w:type="dxa"/>
            </w:tcMar>
            <w:shd w:fill="EAF0F8"/>
          </w:tcPr>
          <w:p>
            <w:pPr>
              <w:spacing w:after="20"/>
            </w:pPr>
            <w:r>
              <w:rPr>
                <w:rFonts w:ascii="Microsoft YaHei" w:hAnsi="Microsoft YaHei"/>
                <w:sz w:val="18"/>
              </w:rPr>
              <w:t>发布日</w:t>
            </w:r>
          </w:p>
        </w:tc>
        <w:tc>
          <w:tcPr>
            <w:tcW w:type="dxa" w:w="6520"/>
            <w:vAlign w:val="center"/>
            <w:tcMar>
              <w:top w:w="100" w:type="dxa"/>
              <w:start w:w="120" w:type="dxa"/>
              <w:bottom w:w="100" w:type="dxa"/>
              <w:end w:w="120" w:type="dxa"/>
            </w:tcMar>
          </w:tcPr>
          <w:p>
            <w:pPr>
              <w:spacing w:after="20"/>
            </w:pPr>
            <w:r>
              <w:rPr>
                <w:rFonts w:ascii="Microsoft YaHei" w:hAnsi="Microsoft YaHei"/>
                <w:sz w:val="18"/>
              </w:rPr>
              <w:t>2026-01-20</w:t>
            </w:r>
          </w:p>
        </w:tc>
      </w:tr>
      <w:tr>
        <w:tc>
          <w:tcPr>
            <w:tcW w:type="dxa" w:w="2268"/>
            <w:vAlign w:val="center"/>
            <w:tcMar>
              <w:top w:w="100" w:type="dxa"/>
              <w:start w:w="120" w:type="dxa"/>
              <w:bottom w:w="100" w:type="dxa"/>
              <w:end w:w="120" w:type="dxa"/>
            </w:tcMar>
            <w:shd w:fill="D9E2F3"/>
          </w:tcPr>
          <w:p>
            <w:pPr>
              <w:spacing w:after="20"/>
            </w:pPr>
            <w:r>
              <w:rPr>
                <w:rFonts w:ascii="Microsoft YaHei" w:hAnsi="Microsoft YaHei"/>
                <w:sz w:val="18"/>
              </w:rPr>
              <w:t>生效日</w:t>
            </w:r>
          </w:p>
        </w:tc>
        <w:tc>
          <w:tcPr>
            <w:tcW w:type="dxa" w:w="6520"/>
            <w:vAlign w:val="center"/>
            <w:tcMar>
              <w:top w:w="100" w:type="dxa"/>
              <w:start w:w="120" w:type="dxa"/>
              <w:bottom w:w="100" w:type="dxa"/>
              <w:end w:w="120" w:type="dxa"/>
            </w:tcMar>
          </w:tcPr>
          <w:p>
            <w:pPr>
              <w:spacing w:after="20"/>
            </w:pPr>
            <w:r>
              <w:rPr>
                <w:rFonts w:ascii="Microsoft YaHei" w:hAnsi="Microsoft YaHei"/>
                <w:sz w:val="18"/>
              </w:rPr>
              <w:t>2026-02-01</w:t>
            </w:r>
          </w:p>
        </w:tc>
      </w:tr>
      <w:tr>
        <w:tc>
          <w:tcPr>
            <w:tcW w:type="dxa" w:w="2268"/>
            <w:vAlign w:val="center"/>
            <w:tcMar>
              <w:top w:w="100" w:type="dxa"/>
              <w:start w:w="120" w:type="dxa"/>
              <w:bottom w:w="100" w:type="dxa"/>
              <w:end w:w="120" w:type="dxa"/>
            </w:tcMar>
            <w:shd w:fill="EAF0F8"/>
          </w:tcPr>
          <w:p>
            <w:pPr>
              <w:spacing w:after="20"/>
            </w:pPr>
            <w:r>
              <w:rPr>
                <w:rFonts w:ascii="Microsoft YaHei" w:hAnsi="Microsoft YaHei"/>
                <w:sz w:val="18"/>
              </w:rPr>
              <w:t>替代文件</w:t>
            </w:r>
          </w:p>
        </w:tc>
        <w:tc>
          <w:tcPr>
            <w:tcW w:type="dxa" w:w="6520"/>
            <w:vAlign w:val="center"/>
            <w:tcMar>
              <w:top w:w="100" w:type="dxa"/>
              <w:start w:w="120" w:type="dxa"/>
              <w:bottom w:w="100" w:type="dxa"/>
              <w:end w:w="120" w:type="dxa"/>
            </w:tcMar>
          </w:tcPr>
          <w:p>
            <w:pPr>
              <w:spacing w:after="20"/>
            </w:pPr>
            <w:r>
              <w:rPr>
                <w:rFonts w:ascii="Microsoft YaHei" w:hAnsi="Microsoft YaHei"/>
                <w:sz w:val="18"/>
              </w:rPr>
              <w:t>无</w:t>
            </w:r>
          </w:p>
        </w:tc>
      </w:tr>
      <w:tr>
        <w:tc>
          <w:tcPr>
            <w:tcW w:type="dxa" w:w="2268"/>
            <w:vAlign w:val="center"/>
            <w:tcMar>
              <w:top w:w="100" w:type="dxa"/>
              <w:start w:w="120" w:type="dxa"/>
              <w:bottom w:w="100" w:type="dxa"/>
              <w:end w:w="120" w:type="dxa"/>
            </w:tcMar>
            <w:shd w:fill="D9E2F3"/>
          </w:tcPr>
          <w:p>
            <w:pPr>
              <w:spacing w:after="20"/>
            </w:pPr>
            <w:r>
              <w:rPr>
                <w:rFonts w:ascii="Microsoft YaHei" w:hAnsi="Microsoft YaHei"/>
                <w:sz w:val="18"/>
              </w:rPr>
              <w:t>引用文件</w:t>
            </w:r>
          </w:p>
        </w:tc>
        <w:tc>
          <w:tcPr>
            <w:tcW w:type="dxa" w:w="6520"/>
            <w:vAlign w:val="center"/>
            <w:tcMar>
              <w:top w:w="100" w:type="dxa"/>
              <w:start w:w="120" w:type="dxa"/>
              <w:bottom w:w="100" w:type="dxa"/>
              <w:end w:w="120" w:type="dxa"/>
            </w:tcMar>
          </w:tcPr>
          <w:p>
            <w:pPr>
              <w:spacing w:after="20"/>
            </w:pPr>
            <w:r>
              <w:rPr>
                <w:rFonts w:ascii="Microsoft YaHei" w:hAnsi="Microsoft YaHei"/>
                <w:sz w:val="18"/>
              </w:rPr>
              <w:t>无</w:t>
            </w:r>
          </w:p>
        </w:tc>
      </w:tr>
    </w:tbl>
    <w:p>
      <w:r>
        <w:t>本文件用于明确薪酬福利与补贴管理制度的适用边界、职责、流程、例外和记录要求。阅读时应先确认生效日期与引用文件，历史版本只用于追溯，不得覆盖当前有效规则。</w:t>
      </w:r>
    </w:p>
    <w:p>
      <w:r>
        <w:br w:type="page"/>
      </w:r>
    </w:p>
    <w:p>
      <w:pPr>
        <w:pStyle w:val="Heading1"/>
      </w:pPr>
      <w:r>
        <w:t>总则</w:t>
      </w:r>
    </w:p>
    <w:p>
      <w:r>
        <w:rPr>
          <w:b/>
        </w:rPr>
        <w:t>第 1 节控制说明</w:t>
      </w:r>
    </w:p>
    <w:p>
      <w:r>
        <w:t>标准流程依次为受理、完整性检查、业务判断、授权决定、执行和归档。HRBP提交总则事项后，直属负责人先核对范围与前置条件，再在考勤系统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紧急情况，可使用本文件明确的例外路径，但不得据此降低实质控制。经办人应写明不能走标准流程的原因、风险缓解措施和恢复标准，由HRBP限定期限并复核。涉及总则的适用条件、责任边界或版本口径被混淆或职责冲突的事项不得口头追认；紧急办理结束后应补齐总则办理记录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总则事项原件、审批链、总则办理记录、必要的核验截图和例外说明，并按员工自助平台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总则”适用于围绕总则事项发生的申请、审核、执行和复核活动。本节所称有效记录，是指能够说明责任人、业务目的、适用期间、金额或权限范围以及最终决定的材料。HRBP应先确认对象和有效版本；口头沟通、聊天截图或历史表单均不能单独构成办理依据。如事项同时受多个制度约束，应先确定主责文件，再把其他文件作为补充条件列入办理清单，不能择一规避。</w:t>
      </w:r>
    </w:p>
    <w:p>
      <w:r>
        <w:br w:type="page"/>
      </w:r>
    </w:p>
    <w:p>
      <w:pPr>
        <w:pStyle w:val="Heading1"/>
      </w:pPr>
      <w:r>
        <w:t>薪酬结构</w:t>
      </w:r>
    </w:p>
    <w:p>
      <w:r>
        <w:rPr>
          <w:b/>
        </w:rPr>
        <w:t>第 2 节控制说明</w:t>
      </w:r>
    </w:p>
    <w:p>
      <w:r>
        <w:t>遇到境外或异地场景，可使用本文件明确的例外路径，但不得据此降低实质控制。经办人应写明不能走标准流程的原因、风险缓解措施和恢复标准，由直属负责人限定期限并复核。涉及薪酬结构的适用条件、责任边界或版本口径被混淆或职责冲突的事项不得口头追认；紧急办理结束后应补齐薪酬结构办理记录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薪酬结构事项原件、审批链、薪酬结构办理记录、必要的核验截图和例外说明，并按人事档案库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薪酬结构”适用于围绕薪酬结构事项发生的申请、审核、执行和复核活动。本节所称有效记录，是指能够说明责任人、业务目的、适用期间、金额或权限范围以及最终决定的材料。员工应先确认对象和有效版本；口头沟通、聊天截图或历史表单均不能单独构成办理依据。如事项同时受多个制度约束，应先确定主责文件，再把其他文件作为补充条件列入办理清单，不能择一规避。</w:t>
      </w:r>
    </w:p>
    <w:p>
      <w:r>
        <w:t>职责分工上，员工负责按照职责分工提交完整材料并保证材料真实完整，薪酬福利团队通过人事档案库实施到期复查。申请、批准、执行与复核应由相互独立的角色承担；同一人员临时代办时，必须在薪酬结构办理记录中写明授权来源、期限与后续复核人，避免因薪酬结构的适用条件、责任边界或版本口径被混淆形成无人负责的控制空档。岗位变动、代理审批或跨组织协作不改变原职责边界；临时授权到期后，人事档案库应恢复常规责任链。</w:t>
      </w:r>
    </w:p>
    <w:p>
      <w:r>
        <w:br w:type="page"/>
      </w:r>
    </w:p>
    <w:p>
      <w:pPr>
        <w:pStyle w:val="Heading1"/>
      </w:pPr>
      <w:r>
        <w:t>固定薪酬</w:t>
      </w:r>
    </w:p>
    <w:p>
      <w:r>
        <w:rPr>
          <w:b/>
        </w:rPr>
        <w:t>第 3 节控制说明</w:t>
      </w:r>
    </w:p>
    <w:p>
      <w:r>
        <w:t>引用其他制度时，应同时记录文件编号、版本和生效日期；存在新旧口径差异的，以明确的替代、覆盖关系及事项发生时间判定。归档附件包括固定薪酬事项原件、审批链、固定薪酬办理记录、必要的核验截图和例外说明，并按人事档案库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固定薪酬”适用于围绕固定薪酬事项发生的申请、审核、执行和复核活动。本节所称有效记录，是指能够说明责任人、业务目的、适用期间、金额或权限范围以及最终决定的材料。员工应先确认对象和有效版本；口头沟通、聊天截图或历史表单均不能单独构成办理依据。如事项同时受多个制度约束，应先确定主责文件，再把其他文件作为补充条件列入办理清单，不能择一规避。</w:t>
      </w:r>
    </w:p>
    <w:p>
      <w:r>
        <w:t>职责分工上，直属负责人负责核对预算、权限与业务依据并保证材料真实完整，员工通过审批中心实施到期复查。申请、批准、执行与复核应由相互独立的角色承担；同一人员临时代办时，必须在固定薪酬办理记录中写明授权来源、期限与后续复核人，避免因固定薪酬的适用条件、责任边界或版本口径被混淆形成无人负责的控制空档。岗位变动、代理审批或跨组织协作不改变原职责边界；临时授权到期后，审批中心应恢复常规责任链。</w:t>
      </w:r>
    </w:p>
    <w:p>
      <w:r>
        <w:t>标准流程依次为受理、完整性检查、业务判断、授权决定、执行和归档。HRBP提交固定薪酬事项后，员工先核对范围与前置条件，再在考勤系统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br w:type="page"/>
      </w:r>
    </w:p>
    <w:p>
      <w:pPr>
        <w:pStyle w:val="Heading1"/>
      </w:pPr>
      <w:r>
        <w:t>奖金</w:t>
      </w:r>
    </w:p>
    <w:p>
      <w:r>
        <w:rPr>
          <w:b/>
        </w:rPr>
        <w:t>第 4 节控制说明</w:t>
      </w:r>
    </w:p>
    <w:p>
      <w:r>
        <w:t>“奖金”适用于围绕奖金事项发生的申请、审核、执行和复核活动。本节所称有效记录，是指能够说明责任人、业务目的、适用期间、金额或权限范围以及最终决定的材料。直属负责人应先确认对象和有效版本；口头沟通、聊天截图或历史表单均不能单独构成办理依据。如事项同时受多个制度约束，应先确定主责文件，再把其他文件作为补充条件列入办理清单，不能择一规避。</w:t>
      </w:r>
    </w:p>
    <w:p>
      <w:r>
        <w:t>职责分工上，员工负责对例外原因进行书面说明并保证材料真实完整，HRBP通过考勤系统实施到期复查。申请、批准、执行与复核应由相互独立的角色承担；同一人员临时代办时，必须在奖金办理记录中写明授权来源、期限与后续复核人，避免因奖金的适用条件、责任边界或版本口径被混淆形成无人负责的控制空档。岗位变动、代理审批或跨组织协作不改变原职责边界；临时授权到期后，考勤系统应恢复常规责任链。</w:t>
      </w:r>
    </w:p>
    <w:p>
      <w:r>
        <w:t>标准流程依次为受理、完整性检查、业务判断、授权决定、执行和归档。人力资源共享服务中心提交奖金事项后，直属负责人先核对范围与前置条件，再在员工自助平台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历史资料迁移，可使用本文件明确的例外路径，但不得据此降低实质控制。经办人应写明不能走标准流程的原因、风险缓解措施和恢复标准，由HRBP限定期限并复核。涉及奖金的适用条件、责任边界或版本口径被混淆或职责冲突的事项不得口头追认；紧急办理结束后应补齐奖金办理记录并登记复盘结论。例外决定只对本次载明事项有效，不自动形成惯例；同类例外反复出现时，应由归口部门评估是否修订制度。</w:t>
      </w:r>
    </w:p>
    <w:p>
      <w:r>
        <w:br w:type="page"/>
      </w:r>
    </w:p>
    <w:p>
      <w:pPr>
        <w:pStyle w:val="Heading1"/>
      </w:pPr>
      <w:r>
        <w:t>餐补</w:t>
      </w:r>
    </w:p>
    <w:p>
      <w:r>
        <w:rPr>
          <w:b/>
        </w:rPr>
        <w:t>第 5 节控制说明</w:t>
      </w:r>
    </w:p>
    <w:p>
      <w:r>
        <w:t>职责分工上，员工负责在批准后方可进入下一处理环节并保证材料真实完整，直属负责人通过审批中心实施到期复查。申请、批准、执行与复核应由相互独立的角色承担；同一人员临时代办时，必须在餐补办理记录中写明授权来源、期限与后续复核人，避免因餐补的适用条件、责任边界或版本口径被混淆形成无人负责的控制空档。岗位变动、代理审批或跨组织协作不改变原职责边界；临时授权到期后，审批中心应恢复常规责任链。</w:t>
      </w:r>
    </w:p>
    <w:p>
      <w:r>
        <w:t>标准流程依次为受理、完整性检查、业务判断、授权决定、执行和归档。HRBP提交餐补事项后，员工先核对范围与前置条件，再在审批中心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系统短时不可用，可使用本文件明确的例外路径，但不得据此降低实质控制。经办人应写明不能走标准流程的原因、风险缓解措施和恢复标准，由直属负责人限定期限并复核。涉及餐补的适用条件、责任边界或版本口径被混淆或职责冲突的事项不得口头追认；紧急办理结束后应补齐餐补办理记录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餐补事项原件、审批链、餐补办理记录、必要的核验截图和例外说明，并按审批中心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br w:type="page"/>
      </w:r>
    </w:p>
    <w:p>
      <w:pPr>
        <w:pStyle w:val="Heading1"/>
      </w:pPr>
      <w:r>
        <w:t>交通补贴</w:t>
      </w:r>
    </w:p>
    <w:p>
      <w:r>
        <w:rPr>
          <w:b/>
        </w:rPr>
        <w:t>第 6 节控制说明</w:t>
      </w:r>
    </w:p>
    <w:p>
      <w:r>
        <w:t>标准流程依次为受理、完整性检查、业务判断、授权决定、执行和归档。人力资源共享服务中心提交交通补贴事项后，HRBP先核对范围与前置条件，再在考勤系统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历史资料迁移，可使用本文件明确的例外路径，但不得据此降低实质控制。经办人应写明不能走标准流程的原因、风险缓解措施和恢复标准，由人力资源共享服务中心限定期限并复核。涉及交通补贴的适用条件、责任边界或版本口径被混淆或职责冲突的事项不得口头追认；紧急办理结束后应补齐交通补贴办理记录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交通补贴事项原件、审批链、交通补贴办理记录、必要的核验截图和例外说明，并按员工自助平台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交通补贴”适用于围绕交通补贴事项发生的申请、审核、执行和复核活动。本节所称有效记录，是指能够说明责任人、业务目的、适用期间、金额或权限范围以及最终决定的材料。员工应先确认对象和有效版本；口头沟通、聊天截图或历史表单均不能单独构成办理依据。如事项同时受多个制度约束，应先确定主责文件，再把其他文件作为补充条件列入办理清单，不能择一规避。</w:t>
      </w:r>
    </w:p>
    <w:p>
      <w:r>
        <w:br w:type="page"/>
      </w:r>
    </w:p>
    <w:p>
      <w:pPr>
        <w:pStyle w:val="Heading1"/>
      </w:pPr>
      <w:r>
        <w:t>健康补贴</w:t>
      </w:r>
    </w:p>
    <w:p>
      <w:r>
        <w:rPr>
          <w:b/>
        </w:rPr>
        <w:t>第 7 节控制说明</w:t>
      </w:r>
    </w:p>
    <w:p>
      <w:r>
        <w:rPr>
          <w:b/>
        </w:rPr>
        <w:t>规则条款：2026健康补贴1200元。该条款的适用对象、条件和证据应结合本章上下文判断，不得脱离有效版本单独引用。</w:t>
      </w:r>
    </w:p>
    <w:p>
      <w:r>
        <w:t>遇到紧急情况，可使用本文件明确的例外路径，但不得据此降低实质控制。经办人应写明不能走标准流程的原因、风险缓解措施和恢复标准，由员工限定期限并复核。涉及健康补贴的适用条件、责任边界或版本口径被混淆或职责冲突的事项不得口头追认；紧急办理结束后应补齐健康补贴办理记录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健康补贴事项原件、审批链、健康补贴办理记录、必要的核验截图和例外说明，并按考勤系统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健康补贴”适用于围绕健康补贴事项发生的申请、审核、执行和复核活动。本节所称有效记录，是指能够说明责任人、业务目的、适用期间、金额或权限范围以及最终决定的材料。人力资源共享服务中心应先确认对象和有效版本；口头沟通、聊天截图或历史表单均不能单独构成办理依据。如事项同时受多个制度约束，应先确定主责文件，再把其他文件作为补充条件列入办理清单，不能择一规避。</w:t>
      </w:r>
    </w:p>
    <w:p>
      <w:r>
        <w:t>职责分工上，薪酬福利团队负责在批准后方可进入下一处理环节并保证材料真实完整，直属负责人通过审批中心实施分级审批。申请、批准、执行与复核应由相互独立的角色承担；同一人员临时代办时，必须在健康补贴办理记录中写明授权来源、期限与后续复核人，避免因健康补贴的适用条件、责任边界或版本口径被混淆形成无人负责的控制空档。岗位变动、代理审批或跨组织协作不改变原职责边界；临时授权到期后，审批中心应恢复常规责任链。</w:t>
      </w:r>
    </w:p>
    <w:p>
      <w:pPr>
        <w:pStyle w:val="Heading2"/>
      </w:pPr>
      <w:r>
        <w:t>本节记录清单</w:t>
      </w:r>
    </w:p>
    <w:tbl>
      <w:tblPr>
        <w:tblW w:type="auto" w:w="0"/>
        <w:tblLook w:firstColumn="1" w:firstRow="1" w:lastColumn="0" w:lastRow="0" w:noHBand="0" w:noVBand="1" w:val="04A0"/>
      </w:tblPr>
      <w:tblGrid>
        <w:gridCol w:w="3173"/>
        <w:gridCol w:w="3173"/>
        <w:gridCol w:w="3173"/>
      </w:tblGrid>
      <w:tr>
        <w:tc>
          <w:tcPr>
            <w:tcW w:type="dxa" w:w="3173"/>
            <w:shd w:fill="203864"/>
          </w:tcPr>
          <w:p>
            <w:r>
              <w:rPr>
                <w:b/>
                <w:color w:val="FFFFFF"/>
              </w:rPr>
              <w:t>记录</w:t>
            </w:r>
          </w:p>
        </w:tc>
        <w:tc>
          <w:tcPr>
            <w:tcW w:type="dxa" w:w="3173"/>
            <w:shd w:fill="203864"/>
          </w:tcPr>
          <w:p>
            <w:r>
              <w:rPr>
                <w:b/>
                <w:color w:val="FFFFFF"/>
              </w:rPr>
              <w:t>责任角色</w:t>
            </w:r>
          </w:p>
        </w:tc>
        <w:tc>
          <w:tcPr>
            <w:tcW w:type="dxa" w:w="3173"/>
            <w:shd w:fill="203864"/>
          </w:tcPr>
          <w:p>
            <w:r>
              <w:rPr>
                <w:b/>
                <w:color w:val="FFFFFF"/>
              </w:rPr>
              <w:t>复核要点</w:t>
            </w:r>
          </w:p>
        </w:tc>
      </w:tr>
      <w:tr>
        <w:tc>
          <w:tcPr>
            <w:tcW w:type="dxa" w:w="3173"/>
            <w:tcMar>
              <w:top w:w="100" w:type="dxa"/>
              <w:start w:w="120" w:type="dxa"/>
              <w:bottom w:w="100" w:type="dxa"/>
              <w:end w:w="120" w:type="dxa"/>
            </w:tcMar>
            <w:vAlign w:val="center"/>
          </w:tcPr>
          <w:p>
            <w:r>
              <w:rPr>
                <w:rFonts w:ascii="Microsoft YaHei" w:hAnsi="Microsoft YaHei"/>
                <w:sz w:val="17"/>
              </w:rPr>
              <w:t>入职资料</w:t>
            </w:r>
          </w:p>
        </w:tc>
        <w:tc>
          <w:tcPr>
            <w:tcW w:type="dxa" w:w="3173"/>
            <w:tcMar>
              <w:top w:w="100" w:type="dxa"/>
              <w:start w:w="120" w:type="dxa"/>
              <w:bottom w:w="100" w:type="dxa"/>
              <w:end w:w="120" w:type="dxa"/>
            </w:tcMar>
            <w:vAlign w:val="center"/>
          </w:tcPr>
          <w:p>
            <w:r>
              <w:rPr>
                <w:rFonts w:ascii="Microsoft YaHei" w:hAnsi="Microsoft YaHei"/>
                <w:sz w:val="17"/>
              </w:rPr>
              <w:t>员工</w:t>
            </w:r>
          </w:p>
        </w:tc>
        <w:tc>
          <w:tcPr>
            <w:tcW w:type="dxa" w:w="3173"/>
            <w:tcMar>
              <w:top w:w="100" w:type="dxa"/>
              <w:start w:w="120" w:type="dxa"/>
              <w:bottom w:w="100" w:type="dxa"/>
              <w:end w:w="120" w:type="dxa"/>
            </w:tcMar>
            <w:vAlign w:val="center"/>
          </w:tcPr>
          <w:p>
            <w:r>
              <w:rPr>
                <w:rFonts w:ascii="Microsoft YaHei" w:hAnsi="Microsoft YaHei"/>
                <w:sz w:val="17"/>
              </w:rPr>
              <w:t>确认范围、时间和结论，防止口径不一致</w:t>
            </w:r>
          </w:p>
        </w:tc>
      </w:tr>
      <w:tr>
        <w:tc>
          <w:tcPr>
            <w:tcW w:type="dxa" w:w="3173"/>
            <w:tcMar>
              <w:top w:w="100" w:type="dxa"/>
              <w:start w:w="120" w:type="dxa"/>
              <w:bottom w:w="100" w:type="dxa"/>
              <w:end w:w="120" w:type="dxa"/>
            </w:tcMar>
            <w:vAlign w:val="center"/>
          </w:tcPr>
          <w:p>
            <w:r>
              <w:rPr>
                <w:rFonts w:ascii="Microsoft YaHei" w:hAnsi="Microsoft YaHei"/>
                <w:sz w:val="17"/>
              </w:rPr>
              <w:t>考勤记录</w:t>
            </w:r>
          </w:p>
        </w:tc>
        <w:tc>
          <w:tcPr>
            <w:tcW w:type="dxa" w:w="3173"/>
            <w:tcMar>
              <w:top w:w="100" w:type="dxa"/>
              <w:start w:w="120" w:type="dxa"/>
              <w:bottom w:w="100" w:type="dxa"/>
              <w:end w:w="120" w:type="dxa"/>
            </w:tcMar>
            <w:vAlign w:val="center"/>
          </w:tcPr>
          <w:p>
            <w:r>
              <w:rPr>
                <w:rFonts w:ascii="Microsoft YaHei" w:hAnsi="Microsoft YaHei"/>
                <w:sz w:val="17"/>
              </w:rPr>
              <w:t>直属负责人</w:t>
            </w:r>
          </w:p>
        </w:tc>
        <w:tc>
          <w:tcPr>
            <w:tcW w:type="dxa" w:w="3173"/>
            <w:tcMar>
              <w:top w:w="100" w:type="dxa"/>
              <w:start w:w="120" w:type="dxa"/>
              <w:bottom w:w="100" w:type="dxa"/>
              <w:end w:w="120" w:type="dxa"/>
            </w:tcMar>
            <w:vAlign w:val="center"/>
          </w:tcPr>
          <w:p>
            <w:r>
              <w:rPr>
                <w:rFonts w:ascii="Microsoft YaHei" w:hAnsi="Microsoft YaHei"/>
                <w:sz w:val="17"/>
              </w:rPr>
              <w:t>确认范围、时间和结论，防止材料缺失</w:t>
            </w:r>
          </w:p>
        </w:tc>
      </w:tr>
      <w:tr>
        <w:tc>
          <w:tcPr>
            <w:tcW w:type="dxa" w:w="3173"/>
            <w:tcMar>
              <w:top w:w="100" w:type="dxa"/>
              <w:start w:w="120" w:type="dxa"/>
              <w:bottom w:w="100" w:type="dxa"/>
              <w:end w:w="120" w:type="dxa"/>
            </w:tcMar>
            <w:vAlign w:val="center"/>
          </w:tcPr>
          <w:p>
            <w:r>
              <w:rPr>
                <w:rFonts w:ascii="Microsoft YaHei" w:hAnsi="Microsoft YaHei"/>
                <w:sz w:val="17"/>
              </w:rPr>
              <w:t>休假申请</w:t>
            </w:r>
          </w:p>
        </w:tc>
        <w:tc>
          <w:tcPr>
            <w:tcW w:type="dxa" w:w="3173"/>
            <w:tcMar>
              <w:top w:w="100" w:type="dxa"/>
              <w:start w:w="120" w:type="dxa"/>
              <w:bottom w:w="100" w:type="dxa"/>
              <w:end w:w="120" w:type="dxa"/>
            </w:tcMar>
            <w:vAlign w:val="center"/>
          </w:tcPr>
          <w:p>
            <w:r>
              <w:rPr>
                <w:rFonts w:ascii="Microsoft YaHei" w:hAnsi="Microsoft YaHei"/>
                <w:sz w:val="17"/>
              </w:rPr>
              <w:t>HRBP</w:t>
            </w:r>
          </w:p>
        </w:tc>
        <w:tc>
          <w:tcPr>
            <w:tcW w:type="dxa" w:w="3173"/>
            <w:tcMar>
              <w:top w:w="100" w:type="dxa"/>
              <w:start w:w="120" w:type="dxa"/>
              <w:bottom w:w="100" w:type="dxa"/>
              <w:end w:w="120" w:type="dxa"/>
            </w:tcMar>
            <w:vAlign w:val="center"/>
          </w:tcPr>
          <w:p>
            <w:r>
              <w:rPr>
                <w:rFonts w:ascii="Microsoft YaHei" w:hAnsi="Microsoft YaHei"/>
                <w:sz w:val="17"/>
              </w:rPr>
              <w:t>确认范围、时间和结论，防止审批倒置</w:t>
            </w:r>
          </w:p>
        </w:tc>
      </w:tr>
    </w:tbl>
    <w:p>
      <w:r>
        <w:br w:type="page"/>
      </w:r>
    </w:p>
    <w:p>
      <w:pPr>
        <w:pStyle w:val="Heading1"/>
      </w:pPr>
      <w:r>
        <w:t>异地派驻补助</w:t>
      </w:r>
    </w:p>
    <w:p>
      <w:r>
        <w:rPr>
          <w:b/>
        </w:rPr>
        <w:t>第 8 节控制说明</w:t>
      </w:r>
    </w:p>
    <w:p>
      <w:r>
        <w:rPr>
          <w:b/>
        </w:rPr>
        <w:t>规则条款：异地派驻住宿补贴不等于普通差旅住宿报销。该条款的适用对象、条件和证据应结合本章上下文判断，不得脱离有效版本单独引用。</w:t>
      </w:r>
    </w:p>
    <w:p>
      <w:r>
        <w:rPr>
          <w:b/>
        </w:rPr>
        <w:t>规则条款：长期派驻住宿补贴不适用普通出差标准。该条款的适用对象、条件和证据应结合本章上下文判断，不得脱离有效版本单独引用。</w:t>
      </w:r>
    </w:p>
    <w:p>
      <w:r>
        <w:t>异地安排需区分长期派驻住宿补贴、驻场补助和普通差旅住宿；三者适用期间、凭证和责任部门不同。</w:t>
      </w:r>
    </w:p>
    <w:p>
      <w:r>
        <w:t>引用其他制度时，应同时记录文件编号、版本和生效日期；存在新旧口径差异的，以明确的替代、覆盖关系及事项发生时间判定。归档附件包括异地派驻补助事项原件、审批链、异地派驻补助办理记录、必要的核验截图和例外说明，并按人事档案库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异地派驻补助”适用于围绕异地派驻补助事项发生的申请、审核、执行和复核活动。本节所称有效记录，是指能够说明责任人、业务目的、适用期间、金额或权限范围以及最终决定的材料。员工应先确认对象和有效版本；口头沟通、聊天截图或历史表单均不能单独构成办理依据。如事项同时受多个制度约束，应先确定主责文件，再把其他文件作为补充条件列入办理清单，不能择一规避。</w:t>
      </w:r>
    </w:p>
    <w:p>
      <w:r>
        <w:t>职责分工上，直属负责人负责核对预算、权限与业务依据并保证材料真实完整，薪酬福利团队通过审批中心实施系统留痕。申请、批准、执行与复核应由相互独立的角色承担；同一人员临时代办时，必须在异地派驻补助办理记录中写明授权来源、期限与后续复核人，避免因异地派驻补助的适用条件、责任边界或版本口径被混淆形成无人负责的控制空档。岗位变动、代理审批或跨组织协作不改变原职责边界；临时授权到期后，审批中心应恢复常规责任链。</w:t>
      </w:r>
    </w:p>
    <w:p>
      <w:r>
        <w:t>标准流程依次为受理、完整性检查、业务判断、授权决定、执行和归档。人力资源共享服务中心提交异地派驻补助事项后，薪酬福利团队先核对范围与前置条件，再在审批中心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br w:type="page"/>
      </w:r>
    </w:p>
    <w:p>
      <w:pPr>
        <w:pStyle w:val="Heading1"/>
      </w:pPr>
      <w:r>
        <w:t>税务处理</w:t>
      </w:r>
    </w:p>
    <w:p>
      <w:r>
        <w:rPr>
          <w:b/>
        </w:rPr>
        <w:t>第 9 节控制说明</w:t>
      </w:r>
    </w:p>
    <w:p>
      <w:r>
        <w:t>“税务处理”适用于围绕税务处理事项发生的申请、审核、执行和复核活动。本节所称有效记录，是指能够说明责任人、业务目的、适用期间、金额或权限范围以及最终决定的材料。员工应先确认对象和有效版本；口头沟通、聊天截图或历史表单均不能单独构成办理依据。如事项同时受多个制度约束，应先确定主责文件，再把其他文件作为补充条件列入办理清单，不能择一规避。</w:t>
      </w:r>
    </w:p>
    <w:p>
      <w:r>
        <w:t>职责分工上，HRBP负责在办理前确认适用范围和有效版本并保证材料真实完整，薪酬福利团队通过员工自助平台实施分级审批。申请、批准、执行与复核应由相互独立的角色承担；同一人员临时代办时，必须在税务处理办理记录中写明授权来源、期限与后续复核人，避免因税务处理的适用条件、责任边界或版本口径被混淆形成无人负责的控制空档。岗位变动、代理审批或跨组织协作不改变原职责边界；临时授权到期后，员工自助平台应恢复常规责任链。</w:t>
      </w:r>
    </w:p>
    <w:p>
      <w:r>
        <w:t>标准流程依次为受理、完整性检查、业务判断、授权决定、执行和归档。薪酬福利团队提交税务处理事项后，直属负责人先核对范围与前置条件，再在审批中心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紧急情况，可使用本文件明确的例外路径，但不得据此降低实质控制。经办人应写明不能走标准流程的原因、风险缓解措施和恢复标准，由薪酬福利团队限定期限并复核。涉及税务处理的适用条件、责任边界或版本口径被混淆或职责冲突的事项不得口头追认；紧急办理结束后应补齐税务处理办理记录并登记复盘结论。例外决定只对本次载明事项有效，不自动形成惯例；同类例外反复出现时，应由归口部门评估是否修订制度。</w:t>
      </w:r>
    </w:p>
    <w:p>
      <w:r>
        <w:br w:type="page"/>
      </w:r>
    </w:p>
    <w:p>
      <w:pPr>
        <w:pStyle w:val="Heading1"/>
      </w:pPr>
      <w:r>
        <w:t>例外与申诉</w:t>
      </w:r>
    </w:p>
    <w:p>
      <w:r>
        <w:rPr>
          <w:b/>
        </w:rPr>
        <w:t>第 10 节控制说明</w:t>
      </w:r>
    </w:p>
    <w:p>
      <w:r>
        <w:t>职责分工上，直属负责人负责按照职责分工提交完整材料并保证材料真实完整，薪酬福利团队通过员工自助平台实施凭证校验。申请、批准、执行与复核应由相互独立的角色承担；同一人员临时代办时，必须在例外与申诉办理记录中写明授权来源、期限与后续复核人，避免因例外与申诉的适用条件、责任边界或版本口径被混淆形成无人负责的控制空档。岗位变动、代理审批或跨组织协作不改变原职责边界；临时授权到期后，员工自助平台应恢复常规责任链。</w:t>
      </w:r>
    </w:p>
    <w:p>
      <w:r>
        <w:t>标准流程依次为受理、完整性检查、业务判断、授权决定、执行和归档。员工提交例外与申诉事项后，薪酬福利团队先核对范围与前置条件，再在员工自助平台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紧急情况，可使用本文件明确的例外路径，但不得据此降低实质控制。经办人应写明不能走标准流程的原因、风险缓解措施和恢复标准，由人力资源共享服务中心限定期限并复核。涉及例外与申诉的适用条件、责任边界或版本口径被混淆或职责冲突的事项不得口头追认；紧急办理结束后应补齐例外与申诉办理记录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例外与申诉事项原件、审批链、例外与申诉办理记录、必要的核验截图和例外说明，并按员工自助平台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br w:type="page"/>
      </w:r>
    </w:p>
    <w:p>
      <w:pPr>
        <w:pStyle w:val="Heading1"/>
      </w:pPr>
      <w:r>
        <w:t>附录</w:t>
      </w:r>
    </w:p>
    <w:p>
      <w:r>
        <w:rPr>
          <w:b/>
        </w:rPr>
        <w:t>第 11 节控制说明</w:t>
      </w:r>
    </w:p>
    <w:p>
      <w:r>
        <w:t>标准流程依次为受理、完整性检查、业务判断、授权决定、执行和归档。HRBP提交附录事项后，直属负责人先核对范围与前置条件，再在审批中心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境外或异地场景，可使用本文件明确的例外路径，但不得据此降低实质控制。经办人应写明不能走标准流程的原因、风险缓解措施和恢复标准，由员工限定期限并复核。涉及附录的适用条件、责任边界或版本口径被混淆或职责冲突的事项不得口头追认；紧急办理结束后应补齐附录办理记录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附录事项原件、审批链、附录办理记录、必要的核验截图和例外说明，并按考勤系统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附录”适用于围绕附录事项发生的申请、审核、执行和复核活动。本节所称有效记录，是指能够说明责任人、业务目的、适用期间、金额或权限范围以及最终决定的材料。直属负责人应先确认对象和有效版本；口头沟通、聊天截图或历史表单均不能单独构成办理依据。如事项同时受多个制度约束，应先确定主责文件，再把其他文件作为补充条件列入办理清单，不能择一规避。</w:t>
      </w:r>
    </w:p>
    <w:p>
      <w:r>
        <w:br w:type="page"/>
      </w:r>
    </w:p>
    <w:p>
      <w:pPr>
        <w:pStyle w:val="Heading1"/>
      </w:pPr>
      <w:r>
        <w:t>总则</w:t>
      </w:r>
    </w:p>
    <w:p>
      <w:r>
        <w:rPr>
          <w:b/>
        </w:rPr>
        <w:t>第 12 节控制说明</w:t>
      </w:r>
    </w:p>
    <w:p>
      <w:r>
        <w:t>遇到历史资料迁移，可使用本文件明确的例外路径，但不得据此降低实质控制。经办人应写明不能走标准流程的原因、风险缓解措施和恢复标准，由直属负责人限定期限并复核。涉及总则的适用条件、责任边界或版本口径被混淆或职责冲突的事项不得口头追认；紧急办理结束后应补齐总则办理记录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总则事项原件、审批链、总则办理记录、必要的核验截图和例外说明，并按员工自助平台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总则”适用于围绕总则事项发生的申请、审核、执行和复核活动。本节所称有效记录，是指能够说明责任人、业务目的、适用期间、金额或权限范围以及最终决定的材料。人力资源共享服务中心应先确认对象和有效版本；口头沟通、聊天截图或历史表单均不能单独构成办理依据。如事项同时受多个制度约束，应先确定主责文件，再把其他文件作为补充条件列入办理清单，不能择一规避。</w:t>
      </w:r>
    </w:p>
    <w:p>
      <w:r>
        <w:t>职责分工上，人力资源共享服务中心负责在批准后方可进入下一处理环节并保证材料真实完整，员工通过员工自助平台实施抽样稽核。申请、批准、执行与复核应由相互独立的角色承担；同一人员临时代办时，必须在总则办理记录中写明授权来源、期限与后续复核人，避免因总则的适用条件、责任边界或版本口径被混淆形成无人负责的控制空档。岗位变动、代理审批或跨组织协作不改变原职责边界；临时授权到期后，员工自助平台应恢复常规责任链。</w:t>
      </w:r>
    </w:p>
    <w:p>
      <w:r>
        <w:br w:type="page"/>
      </w:r>
    </w:p>
    <w:p>
      <w:pPr>
        <w:pStyle w:val="Heading1"/>
      </w:pPr>
      <w:r>
        <w:t>薪酬结构</w:t>
      </w:r>
    </w:p>
    <w:p>
      <w:r>
        <w:rPr>
          <w:b/>
        </w:rPr>
        <w:t>第 13 节控制说明</w:t>
      </w:r>
    </w:p>
    <w:p>
      <w:r>
        <w:t>引用其他制度时，应同时记录文件编号、版本和生效日期；存在新旧口径差异的，以明确的替代、覆盖关系及事项发生时间判定。归档附件包括薪酬结构事项原件、审批链、薪酬结构办理记录、必要的核验截图和例外说明，并按人事档案库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薪酬结构”适用于围绕薪酬结构事项发生的申请、审核、执行和复核活动。本节所称有效记录，是指能够说明责任人、业务目的、适用期间、金额或权限范围以及最终决定的材料。员工应先确认对象和有效版本；口头沟通、聊天截图或历史表单均不能单独构成办理依据。如事项同时受多个制度约束，应先确定主责文件，再把其他文件作为补充条件列入办理清单，不能择一规避。</w:t>
      </w:r>
    </w:p>
    <w:p>
      <w:r>
        <w:t>职责分工上，员工负责按照职责分工提交完整材料并保证材料真实完整，人力资源共享服务中心通过员工自助平台实施分级审批。申请、批准、执行与复核应由相互独立的角色承担；同一人员临时代办时，必须在薪酬结构办理记录中写明授权来源、期限与后续复核人，避免因薪酬结构的适用条件、责任边界或版本口径被混淆形成无人负责的控制空档。岗位变动、代理审批或跨组织协作不改变原职责边界；临时授权到期后，员工自助平台应恢复常规责任链。</w:t>
      </w:r>
    </w:p>
    <w:p>
      <w:r>
        <w:t>标准流程依次为受理、完整性检查、业务判断、授权决定、执行和归档。员工提交薪酬结构事项后，人力资源共享服务中心先核对范围与前置条件，再在考勤系统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br w:type="page"/>
      </w:r>
    </w:p>
    <w:p>
      <w:pPr>
        <w:pStyle w:val="Heading1"/>
      </w:pPr>
      <w:r>
        <w:t>固定薪酬</w:t>
      </w:r>
    </w:p>
    <w:p>
      <w:r>
        <w:rPr>
          <w:b/>
        </w:rPr>
        <w:t>第 14 节控制说明</w:t>
      </w:r>
    </w:p>
    <w:p>
      <w:r>
        <w:t>“固定薪酬”适用于围绕固定薪酬事项发生的申请、审核、执行和复核活动。本节所称有效记录，是指能够说明责任人、业务目的、适用期间、金额或权限范围以及最终决定的材料。直属负责人应先确认对象和有效版本；口头沟通、聊天截图或历史表单均不能单独构成办理依据。如事项同时受多个制度约束，应先确定主责文件，再把其他文件作为补充条件列入办理清单，不能择一规避。</w:t>
      </w:r>
    </w:p>
    <w:p>
      <w:r>
        <w:t>职责分工上，薪酬福利团队负责在批准后方可进入下一处理环节并保证材料真实完整，HRBP通过员工自助平台实施分级审批。申请、批准、执行与复核应由相互独立的角色承担；同一人员临时代办时，必须在固定薪酬办理记录中写明授权来源、期限与后续复核人，避免因固定薪酬的适用条件、责任边界或版本口径被混淆形成无人负责的控制空档。岗位变动、代理审批或跨组织协作不改变原职责边界；临时授权到期后，员工自助平台应恢复常规责任链。</w:t>
      </w:r>
    </w:p>
    <w:p>
      <w:r>
        <w:t>标准流程依次为受理、完整性检查、业务判断、授权决定、执行和归档。HRBP提交固定薪酬事项后，直属负责人先核对范围与前置条件，再在员工自助平台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历史资料迁移，可使用本文件明确的例外路径，但不得据此降低实质控制。经办人应写明不能走标准流程的原因、风险缓解措施和恢复标准，由薪酬福利团队限定期限并复核。涉及固定薪酬的适用条件、责任边界或版本口径被混淆或职责冲突的事项不得口头追认；紧急办理结束后应补齐固定薪酬办理记录并登记复盘结论。例外决定只对本次载明事项有效，不自动形成惯例；同类例外反复出现时，应由归口部门评估是否修订制度。</w:t>
      </w:r>
    </w:p>
    <w:p>
      <w:r>
        <w:br w:type="page"/>
      </w:r>
    </w:p>
    <w:p>
      <w:pPr>
        <w:pStyle w:val="Heading1"/>
      </w:pPr>
      <w:r>
        <w:t>奖金</w:t>
      </w:r>
    </w:p>
    <w:p>
      <w:r>
        <w:rPr>
          <w:b/>
        </w:rPr>
        <w:t>第 15 节控制说明</w:t>
      </w:r>
    </w:p>
    <w:p>
      <w:r>
        <w:t>职责分工上，直属负责人负责核对预算、权限与业务依据并保证材料真实完整，人力资源共享服务中心通过考勤系统实施凭证校验。申请、批准、执行与复核应由相互独立的角色承担；同一人员临时代办时，必须在奖金办理记录中写明授权来源、期限与后续复核人，避免因奖金的适用条件、责任边界或版本口径被混淆形成无人负责的控制空档。岗位变动、代理审批或跨组织协作不改变原职责边界；临时授权到期后，考勤系统应恢复常规责任链。</w:t>
      </w:r>
    </w:p>
    <w:p>
      <w:r>
        <w:t>标准流程依次为受理、完整性检查、业务判断、授权决定、执行和归档。直属负责人提交奖金事项后，人力资源共享服务中心先核对范围与前置条件，再在人事档案库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跨部门协同，可使用本文件明确的例外路径，但不得据此降低实质控制。经办人应写明不能走标准流程的原因、风险缓解措施和恢复标准，由直属负责人限定期限并复核。涉及奖金的适用条件、责任边界或版本口径被混淆或职责冲突的事项不得口头追认；紧急办理结束后应补齐奖金办理记录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奖金事项原件、审批链、奖金办理记录、必要的核验截图和例外说明，并按员工自助平台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pPr>
        <w:pStyle w:val="Heading2"/>
      </w:pPr>
      <w:r>
        <w:t>本节记录清单</w:t>
      </w:r>
    </w:p>
    <w:tbl>
      <w:tblPr>
        <w:tblW w:type="auto" w:w="0"/>
        <w:tblLook w:firstColumn="1" w:firstRow="1" w:lastColumn="0" w:lastRow="0" w:noHBand="0" w:noVBand="1" w:val="04A0"/>
      </w:tblPr>
      <w:tblGrid>
        <w:gridCol w:w="3173"/>
        <w:gridCol w:w="3173"/>
        <w:gridCol w:w="3173"/>
      </w:tblGrid>
      <w:tr>
        <w:tc>
          <w:tcPr>
            <w:tcW w:type="dxa" w:w="3173"/>
            <w:shd w:fill="203864"/>
          </w:tcPr>
          <w:p>
            <w:r>
              <w:rPr>
                <w:b/>
                <w:color w:val="FFFFFF"/>
              </w:rPr>
              <w:t>记录</w:t>
            </w:r>
          </w:p>
        </w:tc>
        <w:tc>
          <w:tcPr>
            <w:tcW w:type="dxa" w:w="3173"/>
            <w:shd w:fill="203864"/>
          </w:tcPr>
          <w:p>
            <w:r>
              <w:rPr>
                <w:b/>
                <w:color w:val="FFFFFF"/>
              </w:rPr>
              <w:t>责任角色</w:t>
            </w:r>
          </w:p>
        </w:tc>
        <w:tc>
          <w:tcPr>
            <w:tcW w:type="dxa" w:w="3173"/>
            <w:shd w:fill="203864"/>
          </w:tcPr>
          <w:p>
            <w:r>
              <w:rPr>
                <w:b/>
                <w:color w:val="FFFFFF"/>
              </w:rPr>
              <w:t>复核要点</w:t>
            </w:r>
          </w:p>
        </w:tc>
      </w:tr>
      <w:tr>
        <w:tc>
          <w:tcPr>
            <w:tcW w:type="dxa" w:w="3173"/>
            <w:tcMar>
              <w:top w:w="100" w:type="dxa"/>
              <w:start w:w="120" w:type="dxa"/>
              <w:bottom w:w="100" w:type="dxa"/>
              <w:end w:w="120" w:type="dxa"/>
            </w:tcMar>
            <w:vAlign w:val="center"/>
          </w:tcPr>
          <w:p>
            <w:r>
              <w:rPr>
                <w:rFonts w:ascii="Microsoft YaHei" w:hAnsi="Microsoft YaHei"/>
                <w:sz w:val="17"/>
              </w:rPr>
              <w:t>入职资料</w:t>
            </w:r>
          </w:p>
        </w:tc>
        <w:tc>
          <w:tcPr>
            <w:tcW w:type="dxa" w:w="3173"/>
            <w:tcMar>
              <w:top w:w="100" w:type="dxa"/>
              <w:start w:w="120" w:type="dxa"/>
              <w:bottom w:w="100" w:type="dxa"/>
              <w:end w:w="120" w:type="dxa"/>
            </w:tcMar>
            <w:vAlign w:val="center"/>
          </w:tcPr>
          <w:p>
            <w:r>
              <w:rPr>
                <w:rFonts w:ascii="Microsoft YaHei" w:hAnsi="Microsoft YaHei"/>
                <w:sz w:val="17"/>
              </w:rPr>
              <w:t>员工</w:t>
            </w:r>
          </w:p>
        </w:tc>
        <w:tc>
          <w:tcPr>
            <w:tcW w:type="dxa" w:w="3173"/>
            <w:tcMar>
              <w:top w:w="100" w:type="dxa"/>
              <w:start w:w="120" w:type="dxa"/>
              <w:bottom w:w="100" w:type="dxa"/>
              <w:end w:w="120" w:type="dxa"/>
            </w:tcMar>
            <w:vAlign w:val="center"/>
          </w:tcPr>
          <w:p>
            <w:r>
              <w:rPr>
                <w:rFonts w:ascii="Microsoft YaHei" w:hAnsi="Microsoft YaHei"/>
                <w:sz w:val="17"/>
              </w:rPr>
              <w:t>确认范围、时间和结论，防止口径不一致</w:t>
            </w:r>
          </w:p>
        </w:tc>
      </w:tr>
      <w:tr>
        <w:tc>
          <w:tcPr>
            <w:tcW w:type="dxa" w:w="3173"/>
            <w:tcMar>
              <w:top w:w="100" w:type="dxa"/>
              <w:start w:w="120" w:type="dxa"/>
              <w:bottom w:w="100" w:type="dxa"/>
              <w:end w:w="120" w:type="dxa"/>
            </w:tcMar>
            <w:vAlign w:val="center"/>
          </w:tcPr>
          <w:p>
            <w:r>
              <w:rPr>
                <w:rFonts w:ascii="Microsoft YaHei" w:hAnsi="Microsoft YaHei"/>
                <w:sz w:val="17"/>
              </w:rPr>
              <w:t>考勤记录</w:t>
            </w:r>
          </w:p>
        </w:tc>
        <w:tc>
          <w:tcPr>
            <w:tcW w:type="dxa" w:w="3173"/>
            <w:tcMar>
              <w:top w:w="100" w:type="dxa"/>
              <w:start w:w="120" w:type="dxa"/>
              <w:bottom w:w="100" w:type="dxa"/>
              <w:end w:w="120" w:type="dxa"/>
            </w:tcMar>
            <w:vAlign w:val="center"/>
          </w:tcPr>
          <w:p>
            <w:r>
              <w:rPr>
                <w:rFonts w:ascii="Microsoft YaHei" w:hAnsi="Microsoft YaHei"/>
                <w:sz w:val="17"/>
              </w:rPr>
              <w:t>直属负责人</w:t>
            </w:r>
          </w:p>
        </w:tc>
        <w:tc>
          <w:tcPr>
            <w:tcW w:type="dxa" w:w="3173"/>
            <w:tcMar>
              <w:top w:w="100" w:type="dxa"/>
              <w:start w:w="120" w:type="dxa"/>
              <w:bottom w:w="100" w:type="dxa"/>
              <w:end w:w="120" w:type="dxa"/>
            </w:tcMar>
            <w:vAlign w:val="center"/>
          </w:tcPr>
          <w:p>
            <w:r>
              <w:rPr>
                <w:rFonts w:ascii="Microsoft YaHei" w:hAnsi="Microsoft YaHei"/>
                <w:sz w:val="17"/>
              </w:rPr>
              <w:t>确认范围、时间和结论，防止材料缺失</w:t>
            </w:r>
          </w:p>
        </w:tc>
      </w:tr>
      <w:tr>
        <w:tc>
          <w:tcPr>
            <w:tcW w:type="dxa" w:w="3173"/>
            <w:tcMar>
              <w:top w:w="100" w:type="dxa"/>
              <w:start w:w="120" w:type="dxa"/>
              <w:bottom w:w="100" w:type="dxa"/>
              <w:end w:w="120" w:type="dxa"/>
            </w:tcMar>
            <w:vAlign w:val="center"/>
          </w:tcPr>
          <w:p>
            <w:r>
              <w:rPr>
                <w:rFonts w:ascii="Microsoft YaHei" w:hAnsi="Microsoft YaHei"/>
                <w:sz w:val="17"/>
              </w:rPr>
              <w:t>休假申请</w:t>
            </w:r>
          </w:p>
        </w:tc>
        <w:tc>
          <w:tcPr>
            <w:tcW w:type="dxa" w:w="3173"/>
            <w:tcMar>
              <w:top w:w="100" w:type="dxa"/>
              <w:start w:w="120" w:type="dxa"/>
              <w:bottom w:w="100" w:type="dxa"/>
              <w:end w:w="120" w:type="dxa"/>
            </w:tcMar>
            <w:vAlign w:val="center"/>
          </w:tcPr>
          <w:p>
            <w:r>
              <w:rPr>
                <w:rFonts w:ascii="Microsoft YaHei" w:hAnsi="Microsoft YaHei"/>
                <w:sz w:val="17"/>
              </w:rPr>
              <w:t>HRBP</w:t>
            </w:r>
          </w:p>
        </w:tc>
        <w:tc>
          <w:tcPr>
            <w:tcW w:type="dxa" w:w="3173"/>
            <w:tcMar>
              <w:top w:w="100" w:type="dxa"/>
              <w:start w:w="120" w:type="dxa"/>
              <w:bottom w:w="100" w:type="dxa"/>
              <w:end w:w="120" w:type="dxa"/>
            </w:tcMar>
            <w:vAlign w:val="center"/>
          </w:tcPr>
          <w:p>
            <w:r>
              <w:rPr>
                <w:rFonts w:ascii="Microsoft YaHei" w:hAnsi="Microsoft YaHei"/>
                <w:sz w:val="17"/>
              </w:rPr>
              <w:t>确认范围、时间和结论，防止审批倒置</w:t>
            </w:r>
          </w:p>
        </w:tc>
      </w:tr>
    </w:tbl>
    <w:p>
      <w:r>
        <w:br w:type="page"/>
      </w:r>
    </w:p>
    <w:p>
      <w:pPr>
        <w:pStyle w:val="Heading1"/>
      </w:pPr>
      <w:r>
        <w:t>餐补</w:t>
      </w:r>
    </w:p>
    <w:p>
      <w:r>
        <w:rPr>
          <w:b/>
        </w:rPr>
        <w:t>第 16 节控制说明</w:t>
      </w:r>
    </w:p>
    <w:p>
      <w:r>
        <w:t>标准流程依次为受理、完整性检查、业务判断、授权决定、执行和归档。人力资源共享服务中心提交餐补事项后，直属负责人先核对范围与前置条件，再在审批中心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紧急情况，可使用本文件明确的例外路径，但不得据此降低实质控制。经办人应写明不能走标准流程的原因、风险缓解措施和恢复标准，由直属负责人限定期限并复核。涉及餐补的适用条件、责任边界或版本口径被混淆或职责冲突的事项不得口头追认；紧急办理结束后应补齐餐补办理记录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餐补事项原件、审批链、餐补办理记录、必要的核验截图和例外说明，并按审批中心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餐补”适用于围绕餐补事项发生的申请、审核、执行和复核活动。本节所称有效记录，是指能够说明责任人、业务目的、适用期间、金额或权限范围以及最终决定的材料。直属负责人应先确认对象和有效版本；口头沟通、聊天截图或历史表单均不能单独构成办理依据。如事项同时受多个制度约束，应先确定主责文件，再把其他文件作为补充条件列入办理清单，不能择一规避。</w:t>
      </w:r>
    </w:p>
    <w:p>
      <w:r>
        <w:br w:type="page"/>
      </w:r>
    </w:p>
    <w:p>
      <w:pPr>
        <w:pStyle w:val="Heading1"/>
      </w:pPr>
      <w:r>
        <w:t>交通补贴</w:t>
      </w:r>
    </w:p>
    <w:p>
      <w:r>
        <w:rPr>
          <w:b/>
        </w:rPr>
        <w:t>第 17 节控制说明</w:t>
      </w:r>
    </w:p>
    <w:p>
      <w:r>
        <w:t>遇到紧急情况，可使用本文件明确的例外路径，但不得据此降低实质控制。经办人应写明不能走标准流程的原因、风险缓解措施和恢复标准，由薪酬福利团队限定期限并复核。涉及交通补贴的适用条件、责任边界或版本口径被混淆或职责冲突的事项不得口头追认；紧急办理结束后应补齐交通补贴办理记录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交通补贴事项原件、审批链、交通补贴办理记录、必要的核验截图和例外说明，并按人事档案库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交通补贴”适用于围绕交通补贴事项发生的申请、审核、执行和复核活动。本节所称有效记录，是指能够说明责任人、业务目的、适用期间、金额或权限范围以及最终决定的材料。员工应先确认对象和有效版本；口头沟通、聊天截图或历史表单均不能单独构成办理依据。如事项同时受多个制度约束，应先确定主责文件，再把其他文件作为补充条件列入办理清单，不能择一规避。</w:t>
      </w:r>
    </w:p>
    <w:p>
      <w:r>
        <w:t>职责分工上，HRBP负责按照职责分工提交完整材料并保证材料真实完整，薪酬福利团队通过员工自助平台实施双人复核。申请、批准、执行与复核应由相互独立的角色承担；同一人员临时代办时，必须在交通补贴办理记录中写明授权来源、期限与后续复核人，避免因交通补贴的适用条件、责任边界或版本口径被混淆形成无人负责的控制空档。岗位变动、代理审批或跨组织协作不改变原职责边界；临时授权到期后，员工自助平台应恢复常规责任链。</w:t>
      </w:r>
    </w:p>
    <w:p>
      <w:r>
        <w:br w:type="page"/>
      </w:r>
    </w:p>
    <w:p>
      <w:pPr>
        <w:pStyle w:val="Heading1"/>
      </w:pPr>
      <w:r>
        <w:t>健康补贴</w:t>
      </w:r>
    </w:p>
    <w:p>
      <w:r>
        <w:rPr>
          <w:b/>
        </w:rPr>
        <w:t>第 18 节控制说明</w:t>
      </w:r>
    </w:p>
    <w:p>
      <w:r>
        <w:t>引用其他制度时，应同时记录文件编号、版本和生效日期；存在新旧口径差异的，以明确的替代、覆盖关系及事项发生时间判定。归档附件包括健康补贴事项原件、审批链、健康补贴办理记录、必要的核验截图和例外说明，并按人事档案库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健康补贴”适用于围绕健康补贴事项发生的申请、审核、执行和复核活动。本节所称有效记录，是指能够说明责任人、业务目的、适用期间、金额或权限范围以及最终决定的材料。HRBP应先确认对象和有效版本；口头沟通、聊天截图或历史表单均不能单独构成办理依据。如事项同时受多个制度约束，应先确定主责文件，再把其他文件作为补充条件列入办理清单，不能择一规避。</w:t>
      </w:r>
    </w:p>
    <w:p>
      <w:r>
        <w:t>职责分工上，HRBP负责按照职责分工提交完整材料并保证材料真实完整，薪酬福利团队通过员工自助平台实施系统留痕。申请、批准、执行与复核应由相互独立的角色承担；同一人员临时代办时，必须在健康补贴办理记录中写明授权来源、期限与后续复核人，避免因健康补贴的适用条件、责任边界或版本口径被混淆形成无人负责的控制空档。岗位变动、代理审批或跨组织协作不改变原职责边界；临时授权到期后，员工自助平台应恢复常规责任链。</w:t>
      </w:r>
    </w:p>
    <w:p>
      <w:r>
        <w:t>标准流程依次为受理、完整性检查、业务判断、授权决定、执行和归档。HRBP提交健康补贴事项后，直属负责人先核对范围与前置条件，再在人事档案库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br w:type="page"/>
      </w:r>
    </w:p>
    <w:p>
      <w:pPr>
        <w:pStyle w:val="Heading1"/>
      </w:pPr>
      <w:r>
        <w:t>异地派驻补助</w:t>
      </w:r>
    </w:p>
    <w:p>
      <w:r>
        <w:rPr>
          <w:b/>
        </w:rPr>
        <w:t>第 19 节控制说明</w:t>
      </w:r>
    </w:p>
    <w:p>
      <w:r>
        <w:t>“异地派驻补助”适用于围绕异地派驻补助事项发生的申请、审核、执行和复核活动。本节所称有效记录，是指能够说明责任人、业务目的、适用期间、金额或权限范围以及最终决定的材料。直属负责人应先确认对象和有效版本；口头沟通、聊天截图或历史表单均不能单独构成办理依据。如事项同时受多个制度约束，应先确定主责文件，再把其他文件作为补充条件列入办理清单，不能择一规避。</w:t>
      </w:r>
    </w:p>
    <w:p>
      <w:r>
        <w:t>职责分工上，人力资源共享服务中心负责对例外原因进行书面说明并保证材料真实完整，员工通过员工自助平台实施抽样稽核。申请、批准、执行与复核应由相互独立的角色承担；同一人员临时代办时，必须在异地派驻补助办理记录中写明授权来源、期限与后续复核人，避免因异地派驻补助的适用条件、责任边界或版本口径被混淆形成无人负责的控制空档。岗位变动、代理审批或跨组织协作不改变原职责边界；临时授权到期后，员工自助平台应恢复常规责任链。</w:t>
      </w:r>
    </w:p>
    <w:p>
      <w:r>
        <w:t>标准流程依次为受理、完整性检查、业务判断、授权决定、执行和归档。员工提交异地派驻补助事项后，直属负责人先核对范围与前置条件，再在员工自助平台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历史资料迁移，可使用本文件明确的例外路径，但不得据此降低实质控制。经办人应写明不能走标准流程的原因、风险缓解措施和恢复标准，由员工限定期限并复核。涉及异地派驻补助的适用条件、责任边界或版本口径被混淆或职责冲突的事项不得口头追认；紧急办理结束后应补齐异地派驻补助办理记录并登记复盘结论。例外决定只对本次载明事项有效，不自动形成惯例；同类例外反复出现时，应由归口部门评估是否修订制度。</w:t>
      </w:r>
    </w:p>
    <w:p>
      <w:r>
        <w:br w:type="page"/>
      </w:r>
    </w:p>
    <w:p>
      <w:pPr>
        <w:pStyle w:val="Heading1"/>
      </w:pPr>
      <w:r>
        <w:t>税务处理</w:t>
      </w:r>
    </w:p>
    <w:p>
      <w:r>
        <w:rPr>
          <w:b/>
        </w:rPr>
        <w:t>第 20 节控制说明</w:t>
      </w:r>
    </w:p>
    <w:p>
      <w:r>
        <w:t>职责分工上，员工负责对例外原因进行书面说明并保证材料真实完整，HRBP通过审批中心实施系统留痕。申请、批准、执行与复核应由相互独立的角色承担；同一人员临时代办时，必须在税务处理办理记录中写明授权来源、期限与后续复核人，避免因税务处理的适用条件、责任边界或版本口径被混淆形成无人负责的控制空档。岗位变动、代理审批或跨组织协作不改变原职责边界；临时授权到期后，审批中心应恢复常规责任链。</w:t>
      </w:r>
    </w:p>
    <w:p>
      <w:r>
        <w:t>标准流程依次为受理、完整性检查、业务判断、授权决定、执行和归档。人力资源共享服务中心提交税务处理事项后，HRBP先核对范围与前置条件，再在考勤系统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紧急情况，可使用本文件明确的例外路径，但不得据此降低实质控制。经办人应写明不能走标准流程的原因、风险缓解措施和恢复标准，由HRBP限定期限并复核。涉及税务处理的适用条件、责任边界或版本口径被混淆或职责冲突的事项不得口头追认；紧急办理结束后应补齐税务处理办理记录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税务处理事项原件、审批链、税务处理办理记录、必要的核验截图和例外说明，并按员工自助平台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br w:type="page"/>
      </w:r>
    </w:p>
    <w:p>
      <w:pPr>
        <w:pStyle w:val="Heading1"/>
      </w:pPr>
      <w:r>
        <w:t>例外与申诉</w:t>
      </w:r>
    </w:p>
    <w:p>
      <w:r>
        <w:rPr>
          <w:b/>
        </w:rPr>
        <w:t>第 21 节控制说明</w:t>
      </w:r>
    </w:p>
    <w:p>
      <w:r>
        <w:t>标准流程依次为受理、完整性检查、业务判断、授权决定、执行和归档。HRBP提交例外与申诉事项后，直属负责人先核对范围与前置条件，再在员工自助平台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紧急情况，可使用本文件明确的例外路径，但不得据此降低实质控制。经办人应写明不能走标准流程的原因、风险缓解措施和恢复标准，由直属负责人限定期限并复核。涉及例外与申诉的适用条件、责任边界或版本口径被混淆或职责冲突的事项不得口头追认；紧急办理结束后应补齐例外与申诉办理记录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例外与申诉事项原件、审批链、例外与申诉办理记录、必要的核验截图和例外说明，并按审批中心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例外与申诉”适用于围绕例外与申诉事项发生的申请、审核、执行和复核活动。本节所称有效记录，是指能够说明责任人、业务目的、适用期间、金额或权限范围以及最终决定的材料。HRBP应先确认对象和有效版本；口头沟通、聊天截图或历史表单均不能单独构成办理依据。如事项同时受多个制度约束，应先确定主责文件，再把其他文件作为补充条件列入办理清单，不能择一规避。</w:t>
      </w:r>
    </w:p>
    <w:p>
      <w:r>
        <w:br w:type="page"/>
      </w:r>
    </w:p>
    <w:p>
      <w:pPr>
        <w:pStyle w:val="Heading1"/>
      </w:pPr>
      <w:r>
        <w:t>附录</w:t>
      </w:r>
    </w:p>
    <w:p>
      <w:r>
        <w:rPr>
          <w:b/>
        </w:rPr>
        <w:t>第 22 节控制说明</w:t>
      </w:r>
    </w:p>
    <w:p>
      <w:r>
        <w:t>遇到跨部门协同，可使用本文件明确的例外路径，但不得据此降低实质控制。经办人应写明不能走标准流程的原因、风险缓解措施和恢复标准，由HRBP限定期限并复核。涉及附录的适用条件、责任边界或版本口径被混淆或职责冲突的事项不得口头追认；紧急办理结束后应补齐附录办理记录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附录事项原件、审批链、附录办理记录、必要的核验截图和例外说明，并按考勤系统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附录”适用于围绕附录事项发生的申请、审核、执行和复核活动。本节所称有效记录，是指能够说明责任人、业务目的、适用期间、金额或权限范围以及最终决定的材料。HRBP应先确认对象和有效版本；口头沟通、聊天截图或历史表单均不能单独构成办理依据。如事项同时受多个制度约束，应先确定主责文件，再把其他文件作为补充条件列入办理清单，不能择一规避。</w:t>
      </w:r>
    </w:p>
    <w:p>
      <w:r>
        <w:t>职责分工上，员工负责在办理前确认适用范围和有效版本并保证材料真实完整，薪酬福利团队通过人事档案库实施系统留痕。申请、批准、执行与复核应由相互独立的角色承担；同一人员临时代办时，必须在附录办理记录中写明授权来源、期限与后续复核人，避免因附录的适用条件、责任边界或版本口径被混淆形成无人负责的控制空档。岗位变动、代理审批或跨组织协作不改变原职责边界；临时授权到期后，人事档案库应恢复常规责任链。</w:t>
      </w:r>
    </w:p>
    <w:p>
      <w:r>
        <w:br w:type="page"/>
      </w:r>
    </w:p>
    <w:p>
      <w:pPr>
        <w:pStyle w:val="Heading1"/>
      </w:pPr>
      <w:r>
        <w:t>总则</w:t>
      </w:r>
    </w:p>
    <w:p>
      <w:r>
        <w:rPr>
          <w:b/>
        </w:rPr>
        <w:t>第 23 节控制说明</w:t>
      </w:r>
    </w:p>
    <w:p>
      <w:r>
        <w:t>引用其他制度时，应同时记录文件编号、版本和生效日期；存在新旧口径差异的，以明确的替代、覆盖关系及事项发生时间判定。归档附件包括总则事项原件、审批链、总则办理记录、必要的核验截图和例外说明，并按考勤系统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总则”适用于围绕总则事项发生的申请、审核、执行和复核活动。本节所称有效记录，是指能够说明责任人、业务目的、适用期间、金额或权限范围以及最终决定的材料。人力资源共享服务中心应先确认对象和有效版本；口头沟通、聊天截图或历史表单均不能单独构成办理依据。如事项同时受多个制度约束，应先确定主责文件，再把其他文件作为补充条件列入办理清单，不能择一规避。</w:t>
      </w:r>
    </w:p>
    <w:p>
      <w:r>
        <w:t>职责分工上，员工负责按照职责分工提交完整材料并保证材料真实完整，HRBP通过人事档案库实施凭证校验。申请、批准、执行与复核应由相互独立的角色承担；同一人员临时代办时，必须在总则办理记录中写明授权来源、期限与后续复核人，避免因总则的适用条件、责任边界或版本口径被混淆形成无人负责的控制空档。岗位变动、代理审批或跨组织协作不改变原职责边界；临时授权到期后，人事档案库应恢复常规责任链。</w:t>
      </w:r>
    </w:p>
    <w:p>
      <w:r>
        <w:t>标准流程依次为受理、完整性检查、业务判断、授权决定、执行和归档。HRBP提交总则事项后，直属负责人先核对范围与前置条件，再在人事档案库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pPr>
        <w:pStyle w:val="Heading2"/>
      </w:pPr>
      <w:r>
        <w:t>本节记录清单</w:t>
      </w:r>
    </w:p>
    <w:tbl>
      <w:tblPr>
        <w:tblW w:type="auto" w:w="0"/>
        <w:tblLook w:firstColumn="1" w:firstRow="1" w:lastColumn="0" w:lastRow="0" w:noHBand="0" w:noVBand="1" w:val="04A0"/>
      </w:tblPr>
      <w:tblGrid>
        <w:gridCol w:w="3173"/>
        <w:gridCol w:w="3173"/>
        <w:gridCol w:w="3173"/>
      </w:tblGrid>
      <w:tr>
        <w:tc>
          <w:tcPr>
            <w:tcW w:type="dxa" w:w="3173"/>
            <w:shd w:fill="203864"/>
          </w:tcPr>
          <w:p>
            <w:r>
              <w:rPr>
                <w:b/>
                <w:color w:val="FFFFFF"/>
              </w:rPr>
              <w:t>记录</w:t>
            </w:r>
          </w:p>
        </w:tc>
        <w:tc>
          <w:tcPr>
            <w:tcW w:type="dxa" w:w="3173"/>
            <w:shd w:fill="203864"/>
          </w:tcPr>
          <w:p>
            <w:r>
              <w:rPr>
                <w:b/>
                <w:color w:val="FFFFFF"/>
              </w:rPr>
              <w:t>责任角色</w:t>
            </w:r>
          </w:p>
        </w:tc>
        <w:tc>
          <w:tcPr>
            <w:tcW w:type="dxa" w:w="3173"/>
            <w:shd w:fill="203864"/>
          </w:tcPr>
          <w:p>
            <w:r>
              <w:rPr>
                <w:b/>
                <w:color w:val="FFFFFF"/>
              </w:rPr>
              <w:t>复核要点</w:t>
            </w:r>
          </w:p>
        </w:tc>
      </w:tr>
      <w:tr>
        <w:tc>
          <w:tcPr>
            <w:tcW w:type="dxa" w:w="3173"/>
            <w:tcMar>
              <w:top w:w="100" w:type="dxa"/>
              <w:start w:w="120" w:type="dxa"/>
              <w:bottom w:w="100" w:type="dxa"/>
              <w:end w:w="120" w:type="dxa"/>
            </w:tcMar>
            <w:vAlign w:val="center"/>
          </w:tcPr>
          <w:p>
            <w:r>
              <w:rPr>
                <w:rFonts w:ascii="Microsoft YaHei" w:hAnsi="Microsoft YaHei"/>
                <w:sz w:val="17"/>
              </w:rPr>
              <w:t>入职资料</w:t>
            </w:r>
          </w:p>
        </w:tc>
        <w:tc>
          <w:tcPr>
            <w:tcW w:type="dxa" w:w="3173"/>
            <w:tcMar>
              <w:top w:w="100" w:type="dxa"/>
              <w:start w:w="120" w:type="dxa"/>
              <w:bottom w:w="100" w:type="dxa"/>
              <w:end w:w="120" w:type="dxa"/>
            </w:tcMar>
            <w:vAlign w:val="center"/>
          </w:tcPr>
          <w:p>
            <w:r>
              <w:rPr>
                <w:rFonts w:ascii="Microsoft YaHei" w:hAnsi="Microsoft YaHei"/>
                <w:sz w:val="17"/>
              </w:rPr>
              <w:t>员工</w:t>
            </w:r>
          </w:p>
        </w:tc>
        <w:tc>
          <w:tcPr>
            <w:tcW w:type="dxa" w:w="3173"/>
            <w:tcMar>
              <w:top w:w="100" w:type="dxa"/>
              <w:start w:w="120" w:type="dxa"/>
              <w:bottom w:w="100" w:type="dxa"/>
              <w:end w:w="120" w:type="dxa"/>
            </w:tcMar>
            <w:vAlign w:val="center"/>
          </w:tcPr>
          <w:p>
            <w:r>
              <w:rPr>
                <w:rFonts w:ascii="Microsoft YaHei" w:hAnsi="Microsoft YaHei"/>
                <w:sz w:val="17"/>
              </w:rPr>
              <w:t>确认范围、时间和结论，防止口径不一致</w:t>
            </w:r>
          </w:p>
        </w:tc>
      </w:tr>
      <w:tr>
        <w:tc>
          <w:tcPr>
            <w:tcW w:type="dxa" w:w="3173"/>
            <w:tcMar>
              <w:top w:w="100" w:type="dxa"/>
              <w:start w:w="120" w:type="dxa"/>
              <w:bottom w:w="100" w:type="dxa"/>
              <w:end w:w="120" w:type="dxa"/>
            </w:tcMar>
            <w:vAlign w:val="center"/>
          </w:tcPr>
          <w:p>
            <w:r>
              <w:rPr>
                <w:rFonts w:ascii="Microsoft YaHei" w:hAnsi="Microsoft YaHei"/>
                <w:sz w:val="17"/>
              </w:rPr>
              <w:t>考勤记录</w:t>
            </w:r>
          </w:p>
        </w:tc>
        <w:tc>
          <w:tcPr>
            <w:tcW w:type="dxa" w:w="3173"/>
            <w:tcMar>
              <w:top w:w="100" w:type="dxa"/>
              <w:start w:w="120" w:type="dxa"/>
              <w:bottom w:w="100" w:type="dxa"/>
              <w:end w:w="120" w:type="dxa"/>
            </w:tcMar>
            <w:vAlign w:val="center"/>
          </w:tcPr>
          <w:p>
            <w:r>
              <w:rPr>
                <w:rFonts w:ascii="Microsoft YaHei" w:hAnsi="Microsoft YaHei"/>
                <w:sz w:val="17"/>
              </w:rPr>
              <w:t>直属负责人</w:t>
            </w:r>
          </w:p>
        </w:tc>
        <w:tc>
          <w:tcPr>
            <w:tcW w:type="dxa" w:w="3173"/>
            <w:tcMar>
              <w:top w:w="100" w:type="dxa"/>
              <w:start w:w="120" w:type="dxa"/>
              <w:bottom w:w="100" w:type="dxa"/>
              <w:end w:w="120" w:type="dxa"/>
            </w:tcMar>
            <w:vAlign w:val="center"/>
          </w:tcPr>
          <w:p>
            <w:r>
              <w:rPr>
                <w:rFonts w:ascii="Microsoft YaHei" w:hAnsi="Microsoft YaHei"/>
                <w:sz w:val="17"/>
              </w:rPr>
              <w:t>确认范围、时间和结论，防止材料缺失</w:t>
            </w:r>
          </w:p>
        </w:tc>
      </w:tr>
      <w:tr>
        <w:tc>
          <w:tcPr>
            <w:tcW w:type="dxa" w:w="3173"/>
            <w:tcMar>
              <w:top w:w="100" w:type="dxa"/>
              <w:start w:w="120" w:type="dxa"/>
              <w:bottom w:w="100" w:type="dxa"/>
              <w:end w:w="120" w:type="dxa"/>
            </w:tcMar>
            <w:vAlign w:val="center"/>
          </w:tcPr>
          <w:p>
            <w:r>
              <w:rPr>
                <w:rFonts w:ascii="Microsoft YaHei" w:hAnsi="Microsoft YaHei"/>
                <w:sz w:val="17"/>
              </w:rPr>
              <w:t>休假申请</w:t>
            </w:r>
          </w:p>
        </w:tc>
        <w:tc>
          <w:tcPr>
            <w:tcW w:type="dxa" w:w="3173"/>
            <w:tcMar>
              <w:top w:w="100" w:type="dxa"/>
              <w:start w:w="120" w:type="dxa"/>
              <w:bottom w:w="100" w:type="dxa"/>
              <w:end w:w="120" w:type="dxa"/>
            </w:tcMar>
            <w:vAlign w:val="center"/>
          </w:tcPr>
          <w:p>
            <w:r>
              <w:rPr>
                <w:rFonts w:ascii="Microsoft YaHei" w:hAnsi="Microsoft YaHei"/>
                <w:sz w:val="17"/>
              </w:rPr>
              <w:t>HRBP</w:t>
            </w:r>
          </w:p>
        </w:tc>
        <w:tc>
          <w:tcPr>
            <w:tcW w:type="dxa" w:w="3173"/>
            <w:tcMar>
              <w:top w:w="100" w:type="dxa"/>
              <w:start w:w="120" w:type="dxa"/>
              <w:bottom w:w="100" w:type="dxa"/>
              <w:end w:w="120" w:type="dxa"/>
            </w:tcMar>
            <w:vAlign w:val="center"/>
          </w:tcPr>
          <w:p>
            <w:r>
              <w:rPr>
                <w:rFonts w:ascii="Microsoft YaHei" w:hAnsi="Microsoft YaHei"/>
                <w:sz w:val="17"/>
              </w:rPr>
              <w:t>确认范围、时间和结论，防止审批倒置</w:t>
            </w:r>
          </w:p>
        </w:tc>
      </w:tr>
    </w:tbl>
    <w:p>
      <w:r>
        <w:br w:type="page"/>
      </w:r>
    </w:p>
    <w:p>
      <w:pPr>
        <w:pStyle w:val="Heading1"/>
      </w:pPr>
      <w:r>
        <w:t>薪酬结构</w:t>
      </w:r>
    </w:p>
    <w:p>
      <w:r>
        <w:rPr>
          <w:b/>
        </w:rPr>
        <w:t>第 24 节控制说明</w:t>
      </w:r>
    </w:p>
    <w:p>
      <w:r>
        <w:t>“薪酬结构”适用于围绕薪酬结构事项发生的申请、审核、执行和复核活动。本节所称有效记录，是指能够说明责任人、业务目的、适用期间、金额或权限范围以及最终决定的材料。HRBP应先确认对象和有效版本；口头沟通、聊天截图或历史表单均不能单独构成办理依据。如事项同时受多个制度约束，应先确定主责文件，再把其他文件作为补充条件列入办理清单，不能择一规避。</w:t>
      </w:r>
    </w:p>
    <w:p>
      <w:r>
        <w:t>职责分工上，薪酬福利团队负责按照职责分工提交完整材料并保证材料真实完整，直属负责人通过考勤系统实施分级审批。申请、批准、执行与复核应由相互独立的角色承担；同一人员临时代办时，必须在薪酬结构办理记录中写明授权来源、期限与后续复核人，避免因薪酬结构的适用条件、责任边界或版本口径被混淆形成无人负责的控制空档。岗位变动、代理审批或跨组织协作不改变原职责边界；临时授权到期后，考勤系统应恢复常规责任链。</w:t>
      </w:r>
    </w:p>
    <w:p>
      <w:r>
        <w:t>标准流程依次为受理、完整性检查、业务判断、授权决定、执行和归档。人力资源共享服务中心提交薪酬结构事项后，直属负责人先核对范围与前置条件，再在考勤系统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历史资料迁移，可使用本文件明确的例外路径，但不得据此降低实质控制。经办人应写明不能走标准流程的原因、风险缓解措施和恢复标准，由薪酬福利团队限定期限并复核。涉及薪酬结构的适用条件、责任边界或版本口径被混淆或职责冲突的事项不得口头追认；紧急办理结束后应补齐薪酬结构办理记录并登记复盘结论。例外决定只对本次载明事项有效，不自动形成惯例；同类例外反复出现时，应由归口部门评估是否修订制度。</w:t>
      </w:r>
    </w:p>
    <w:p>
      <w:r>
        <w:br w:type="page"/>
      </w:r>
    </w:p>
    <w:p>
      <w:pPr>
        <w:pStyle w:val="Heading1"/>
      </w:pPr>
      <w:r>
        <w:t>固定薪酬</w:t>
      </w:r>
    </w:p>
    <w:p>
      <w:r>
        <w:rPr>
          <w:b/>
        </w:rPr>
        <w:t>第 25 节控制说明</w:t>
      </w:r>
    </w:p>
    <w:p>
      <w:r>
        <w:t>职责分工上，人力资源共享服务中心负责对例外原因进行书面说明并保证材料真实完整，员工通过考勤系统实施系统留痕。申请、批准、执行与复核应由相互独立的角色承担；同一人员临时代办时，必须在固定薪酬办理记录中写明授权来源、期限与后续复核人，避免因固定薪酬的适用条件、责任边界或版本口径被混淆形成无人负责的控制空档。岗位变动、代理审批或跨组织协作不改变原职责边界；临时授权到期后，考勤系统应恢复常规责任链。</w:t>
      </w:r>
    </w:p>
    <w:p>
      <w:r>
        <w:t>标准流程依次为受理、完整性检查、业务判断、授权决定、执行和归档。薪酬福利团队提交固定薪酬事项后，HRBP先核对范围与前置条件，再在审批中心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历史资料迁移，可使用本文件明确的例外路径，但不得据此降低实质控制。经办人应写明不能走标准流程的原因、风险缓解措施和恢复标准，由人力资源共享服务中心限定期限并复核。涉及固定薪酬的适用条件、责任边界或版本口径被混淆或职责冲突的事项不得口头追认；紧急办理结束后应补齐固定薪酬办理记录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固定薪酬事项原件、审批链、固定薪酬办理记录、必要的核验截图和例外说明，并按员工自助平台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br w:type="page"/>
      </w:r>
    </w:p>
    <w:p>
      <w:pPr>
        <w:pStyle w:val="Heading1"/>
      </w:pPr>
      <w:r>
        <w:t>奖金</w:t>
      </w:r>
    </w:p>
    <w:p>
      <w:r>
        <w:rPr>
          <w:b/>
        </w:rPr>
        <w:t>第 26 节控制说明</w:t>
      </w:r>
    </w:p>
    <w:p>
      <w:r>
        <w:t>标准流程依次为受理、完整性检查、业务判断、授权决定、执行和归档。直属负责人提交奖金事项后，人力资源共享服务中心先核对范围与前置条件，再在审批中心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跨部门协同，可使用本文件明确的例外路径，但不得据此降低实质控制。经办人应写明不能走标准流程的原因、风险缓解措施和恢复标准，由员工限定期限并复核。涉及奖金的适用条件、责任边界或版本口径被混淆或职责冲突的事项不得口头追认；紧急办理结束后应补齐奖金办理记录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奖金事项原件、审批链、奖金办理记录、必要的核验截图和例外说明，并按审批中心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奖金”适用于围绕奖金事项发生的申请、审核、执行和复核活动。本节所称有效记录，是指能够说明责任人、业务目的、适用期间、金额或权限范围以及最终决定的材料。薪酬福利团队应先确认对象和有效版本；口头沟通、聊天截图或历史表单均不能单独构成办理依据。如事项同时受多个制度约束，应先确定主责文件，再把其他文件作为补充条件列入办理清单，不能择一规避。</w:t>
      </w:r>
    </w:p>
    <w:p>
      <w:r>
        <w:br w:type="page"/>
      </w:r>
    </w:p>
    <w:p>
      <w:pPr>
        <w:pStyle w:val="Heading1"/>
      </w:pPr>
      <w:r>
        <w:t>餐补</w:t>
      </w:r>
    </w:p>
    <w:p>
      <w:r>
        <w:rPr>
          <w:b/>
        </w:rPr>
        <w:t>第 27 节控制说明</w:t>
      </w:r>
    </w:p>
    <w:p>
      <w:r>
        <w:t>遇到紧急情况，可使用本文件明确的例外路径，但不得据此降低实质控制。经办人应写明不能走标准流程的原因、风险缓解措施和恢复标准，由员工限定期限并复核。涉及餐补的适用条件、责任边界或版本口径被混淆或职责冲突的事项不得口头追认；紧急办理结束后应补齐餐补办理记录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餐补事项原件、审批链、餐补办理记录、必要的核验截图和例外说明，并按员工自助平台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餐补”适用于围绕餐补事项发生的申请、审核、执行和复核活动。本节所称有效记录，是指能够说明责任人、业务目的、适用期间、金额或权限范围以及最终决定的材料。HRBP应先确认对象和有效版本；口头沟通、聊天截图或历史表单均不能单独构成办理依据。如事项同时受多个制度约束，应先确定主责文件，再把其他文件作为补充条件列入办理清单，不能择一规避。</w:t>
      </w:r>
    </w:p>
    <w:p>
      <w:r>
        <w:t>职责分工上，薪酬福利团队负责在办理前确认适用范围和有效版本并保证材料真实完整，HRBP通过审批中心实施凭证校验。申请、批准、执行与复核应由相互独立的角色承担；同一人员临时代办时，必须在餐补办理记录中写明授权来源、期限与后续复核人，避免因餐补的适用条件、责任边界或版本口径被混淆形成无人负责的控制空档。岗位变动、代理审批或跨组织协作不改变原职责边界；临时授权到期后，审批中心应恢复常规责任链。</w:t>
      </w:r>
    </w:p>
    <w:sectPr w:rsidR="00FC693F" w:rsidRPr="0006063C" w:rsidSect="00034616">
      <w:headerReference w:type="default" r:id="rId9"/>
      <w:footerReference w:type="default" r:id="rId10"/>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color w:val="5A5A5A"/>
        <w:sz w:val="16"/>
      </w:rPr>
      <w:t>NovaTech 星云科技  内部  V3.0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color w:val="5A5A5A"/>
        <w:sz w:val="16"/>
      </w:rPr>
      <w:t>NT-HR-STD-2026-004  薪酬福利与补贴管理制度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Microsoft YaHei" w:hAnsi="Microsoft YaHei" w:eastAsia="Microsoft YaHei"/>
      <w:b w:val="0"/>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薪酬福利与补贴管理制度</dc:title>
  <dc:subject>NovaTech 星云科技 内部制度</dc:subject>
  <dc:creator>NovaTech 星云科技</dc:creator>
  <cp:keywords/>
  <dc:description>generated by python-docx</dc:description>
  <cp:lastModifiedBy>NovaTech 星云科技</cp:lastModifiedBy>
  <cp:revision>1</cp:revision>
  <dcterms:created xsi:type="dcterms:W3CDTF">2026-09-17T00:00:00Z</dcterms:created>
  <dcterms:modified xsi:type="dcterms:W3CDTF">2026-09-17T00:00:00Z</dcterms:modified>
  <cp:category/>
</cp:coreProperties>
</file>