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ИНН, ОГРН, коды статистики (заверенные печатью фирмы  и подписью генерального директора).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Анкета на фирму.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3) Штат организации.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4) Штатное расписание.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5) Количество иностранцев официально работающих на фирме, с указанием стран, профессий и заработных плат по профессиям.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6) Потребность в иностранцах на следующий год с указанием профессий.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7) Копии договоров на подряды действующие на следующий год и наиболее крупные (потребуется для защиты заявки на комиссии в отраслевом департаменте, нужно в следующем году, заверенные печатью фирмы).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8) Копия договора на общежитие для иностранцев (если имеется).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9) Договор на добровольное медицинское страхование на иностранцев (если нет надо заключить).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10) СРО (на комиссии).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Этапы работы: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1) В конце декабря размещаются сведения о потребности в рабочей силе в ЦЗН.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2) В январе с первого рабочего дня подается заявка в ГКУ АИК миграционные квоты в письменном и электронном виде. (создавалась ли учетная запись на сайте АИК миграционные квоты? если создавалась дать логин и пароль, если нет создаем учетную запись и все данные передаем фирме для контроля).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3) Защита заявки в отраслевой комиссии и в комиссии по округу определяется по юридическому адресу и по городу.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документы на квоты.docx</dc:title>
</cp:coreProperties>
</file>