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89310">
      <w:pPr>
        <w:spacing w:before="0" w:after="80"/>
        <w:jc w:val="left"/>
      </w:pPr>
      <w:r>
        <w:rPr>
          <w:rFonts w:ascii="Arial" w:hAnsi="Arial" w:eastAsia="Arial" w:cs="Arial"/>
          <w:b/>
          <w:bCs/>
          <w:color w:val="888888"/>
          <w:sz w:val="20"/>
          <w:szCs w:val="20"/>
        </w:rPr>
        <w:t>DELIVERABLE 2</w:t>
      </w:r>
    </w:p>
    <w:p w14:paraId="49993DBE">
      <w:pPr>
        <w:spacing w:before="0" w:after="100"/>
        <w:jc w:val="left"/>
      </w:pPr>
      <w:r>
        <w:rPr>
          <w:rFonts w:ascii="Arial" w:hAnsi="Arial" w:eastAsia="Arial" w:cs="Arial"/>
          <w:b/>
          <w:bCs/>
          <w:color w:val="1F4E79"/>
          <w:sz w:val="40"/>
          <w:szCs w:val="40"/>
        </w:rPr>
        <w:t>Description of All Data Sources Used</w:t>
      </w:r>
    </w:p>
    <w:p w14:paraId="52F60096">
      <w:pPr>
        <w:pBdr>
          <w:bottom w:val="single" w:color="1F4E79" w:sz="6" w:space="1"/>
        </w:pBdr>
        <w:spacing w:before="0" w:after="60"/>
      </w:pPr>
      <w:r>
        <w:rPr>
          <w:rFonts w:ascii="Arial" w:hAnsi="Arial" w:eastAsia="Arial" w:cs="Arial"/>
          <w:color w:val="444444"/>
          <w:sz w:val="20"/>
          <w:szCs w:val="20"/>
        </w:rPr>
        <w:t>OFW Remittance Corridor Analysis — Philippine Commercial Bank Expansion Strategy</w:t>
      </w:r>
    </w:p>
    <w:p w14:paraId="47F5A157">
      <w:pPr>
        <w:spacing w:before="80" w:after="0"/>
      </w:pPr>
    </w:p>
    <w:p w14:paraId="7CC6B558">
      <w:pPr>
        <w:spacing w:before="0" w:after="200"/>
        <w:rPr>
          <w:rFonts w:hint="default"/>
          <w:b w:val="0"/>
          <w:bCs w:val="0"/>
          <w:lang w:val="en-US"/>
        </w:rPr>
      </w:pPr>
      <w:r>
        <w:rPr>
          <w:rFonts w:ascii="Arial" w:hAnsi="Arial" w:eastAsia="Arial" w:cs="Arial"/>
          <w:b/>
          <w:bCs/>
          <w:color w:val="555555"/>
          <w:sz w:val="18"/>
          <w:szCs w:val="18"/>
        </w:rPr>
        <w:t xml:space="preserve">Analyst: </w:t>
      </w:r>
      <w:r>
        <w:rPr>
          <w:rFonts w:hint="default" w:cs="Arial"/>
          <w:b w:val="0"/>
          <w:bCs w:val="0"/>
          <w:color w:val="555555"/>
          <w:sz w:val="18"/>
          <w:szCs w:val="18"/>
          <w:lang w:val="en-US"/>
        </w:rPr>
        <w:t>Lester John Taborda</w:t>
      </w:r>
      <w:r>
        <w:rPr>
          <w:rFonts w:ascii="Arial" w:hAnsi="Arial" w:eastAsia="Arial" w:cs="Arial"/>
          <w:color w:val="555555"/>
          <w:sz w:val="18"/>
          <w:szCs w:val="18"/>
        </w:rPr>
        <w:t xml:space="preserve">    </w:t>
      </w:r>
      <w:r>
        <w:rPr>
          <w:rFonts w:ascii="Arial" w:hAnsi="Arial" w:eastAsia="Arial" w:cs="Arial"/>
          <w:b/>
          <w:bCs/>
          <w:color w:val="555555"/>
          <w:sz w:val="18"/>
          <w:szCs w:val="18"/>
        </w:rPr>
        <w:t xml:space="preserve">Phase: </w:t>
      </w:r>
      <w:r>
        <w:rPr>
          <w:rFonts w:ascii="Arial" w:hAnsi="Arial" w:eastAsia="Arial" w:cs="Arial"/>
          <w:color w:val="555555"/>
          <w:sz w:val="18"/>
          <w:szCs w:val="18"/>
        </w:rPr>
        <w:t xml:space="preserve">Prepare    </w:t>
      </w:r>
      <w:r>
        <w:rPr>
          <w:rFonts w:ascii="Arial" w:hAnsi="Arial" w:eastAsia="Arial" w:cs="Arial"/>
          <w:b/>
          <w:bCs/>
          <w:color w:val="555555"/>
          <w:sz w:val="18"/>
          <w:szCs w:val="18"/>
        </w:rPr>
        <w:t xml:space="preserve">Date: </w:t>
      </w:r>
      <w:r>
        <w:rPr>
          <w:rFonts w:hint="default" w:cs="Arial"/>
          <w:b w:val="0"/>
          <w:bCs w:val="0"/>
          <w:color w:val="555555"/>
          <w:sz w:val="18"/>
          <w:szCs w:val="18"/>
          <w:lang w:val="en-US"/>
        </w:rPr>
        <w:t>March 11, 2026</w:t>
      </w:r>
    </w:p>
    <w:p w14:paraId="1C89B5D3">
      <w:pPr>
        <w:pStyle w:val="2"/>
        <w:spacing w:before="360" w:after="120"/>
      </w:pPr>
      <w:r>
        <w:rPr>
          <w:rFonts w:ascii="Arial" w:hAnsi="Arial" w:eastAsia="Arial" w:cs="Arial"/>
          <w:b/>
          <w:bCs/>
          <w:color w:val="1F4E79"/>
          <w:sz w:val="28"/>
          <w:szCs w:val="28"/>
        </w:rPr>
        <w:t>1. Business Task Context</w:t>
      </w:r>
    </w:p>
    <w:p w14:paraId="56D287F2">
      <w:pPr>
        <w:spacing w:before="60" w:after="60"/>
      </w:pPr>
      <w:r>
        <w:rPr>
          <w:rFonts w:ascii="Arial" w:hAnsi="Arial" w:eastAsia="Arial" w:cs="Arial"/>
          <w:sz w:val="20"/>
          <w:szCs w:val="20"/>
        </w:rPr>
        <w:t>This document supports the following business task:</w:t>
      </w:r>
    </w:p>
    <w:p w14:paraId="3608561F">
      <w:pPr>
        <w:pBdr>
          <w:left w:val="single" w:color="1F4E79" w:sz="12" w:space="1"/>
        </w:pBdr>
        <w:shd w:val="clear" w:fill="D6E4F0"/>
        <w:spacing w:before="80" w:after="80"/>
        <w:ind w:left="720" w:right="720"/>
        <w:jc w:val="both"/>
      </w:pPr>
      <w:r>
        <w:rPr>
          <w:rFonts w:ascii="Arial" w:hAnsi="Arial" w:eastAsia="Arial" w:cs="Arial"/>
          <w:i/>
          <w:iCs/>
          <w:color w:val="1F4E79"/>
          <w:sz w:val="20"/>
          <w:szCs w:val="20"/>
        </w:rPr>
        <w:t>"Analyze OFW remittance data to identify high-volume corridors underserved by formal banking channels, and provide a Philippine commercial bank with data-driven recommendations on where to prioritize digital remittance expansion."</w:t>
      </w:r>
    </w:p>
    <w:p w14:paraId="21CA1EDE">
      <w:pPr>
        <w:spacing w:before="60" w:after="60"/>
      </w:pPr>
      <w:r>
        <w:rPr>
          <w:rFonts w:ascii="Arial" w:hAnsi="Arial" w:eastAsia="Arial" w:cs="Arial"/>
          <w:sz w:val="20"/>
          <w:szCs w:val="20"/>
        </w:rPr>
        <w:t>The analysis requires two layers of evidence: (1) identification of high-volume remittance corridors by source country, and (2) assessment of the degree to which formal banking channels are underserving those flows. The datasets described below have been selected to address both layers.</w:t>
      </w:r>
    </w:p>
    <w:p w14:paraId="74A5AD3D">
      <w:pPr>
        <w:pStyle w:val="2"/>
        <w:spacing w:before="360" w:after="120"/>
      </w:pPr>
      <w:r>
        <w:rPr>
          <w:rFonts w:ascii="Arial" w:hAnsi="Arial" w:eastAsia="Arial" w:cs="Arial"/>
          <w:b/>
          <w:bCs/>
          <w:color w:val="1F4E79"/>
          <w:sz w:val="28"/>
          <w:szCs w:val="28"/>
        </w:rPr>
        <w:t>2. Data Inventory</w:t>
      </w:r>
    </w:p>
    <w:p w14:paraId="6146BD03">
      <w:pPr>
        <w:spacing w:before="60" w:after="60"/>
      </w:pPr>
      <w:r>
        <w:rPr>
          <w:rFonts w:ascii="Arial" w:hAnsi="Arial" w:eastAsia="Arial" w:cs="Arial"/>
          <w:sz w:val="20"/>
          <w:szCs w:val="20"/>
        </w:rPr>
        <w:t>All datasets are sourced from Philippine government institutions. The table below summarizes the full inventory, including scope applied for this analysis.</w:t>
      </w:r>
    </w:p>
    <w:p w14:paraId="4596EDB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600"/>
        <w:gridCol w:w="1800"/>
        <w:gridCol w:w="1760"/>
      </w:tblGrid>
      <w:tr w14:paraId="2B0A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0502B414">
            <w:r>
              <w:rPr>
                <w:rFonts w:ascii="Arial" w:hAnsi="Arial" w:eastAsia="Arial" w:cs="Arial"/>
                <w:b/>
                <w:bCs/>
                <w:color w:val="FFFFFF"/>
                <w:sz w:val="18"/>
                <w:szCs w:val="18"/>
              </w:rPr>
              <w:t>Dataset</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44A3F172">
            <w:r>
              <w:rPr>
                <w:rFonts w:ascii="Arial" w:hAnsi="Arial" w:eastAsia="Arial" w:cs="Arial"/>
                <w:b/>
                <w:bCs/>
                <w:color w:val="FFFFFF"/>
                <w:sz w:val="18"/>
                <w:szCs w:val="18"/>
              </w:rPr>
              <w:t>Source</w:t>
            </w:r>
          </w:p>
        </w:tc>
        <w:tc>
          <w:tcPr>
            <w:tcW w:w="16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62FFAD45">
            <w:r>
              <w:rPr>
                <w:rFonts w:ascii="Arial" w:hAnsi="Arial" w:eastAsia="Arial" w:cs="Arial"/>
                <w:b/>
                <w:bCs/>
                <w:color w:val="FFFFFF"/>
                <w:sz w:val="18"/>
                <w:szCs w:val="18"/>
              </w:rPr>
              <w:t>Coverage</w:t>
            </w:r>
          </w:p>
        </w:tc>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2B06BE57">
            <w:r>
              <w:rPr>
                <w:rFonts w:ascii="Arial" w:hAnsi="Arial" w:eastAsia="Arial" w:cs="Arial"/>
                <w:b/>
                <w:bCs/>
                <w:color w:val="FFFFFF"/>
                <w:sz w:val="18"/>
                <w:szCs w:val="18"/>
              </w:rPr>
              <w:t>Scope Used</w:t>
            </w:r>
          </w:p>
        </w:tc>
        <w:tc>
          <w:tcPr>
            <w:tcW w:w="176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46D0B217">
            <w:r>
              <w:rPr>
                <w:rFonts w:ascii="Arial" w:hAnsi="Arial" w:eastAsia="Arial" w:cs="Arial"/>
                <w:b/>
                <w:bCs/>
                <w:color w:val="FFFFFF"/>
                <w:sz w:val="18"/>
                <w:szCs w:val="18"/>
              </w:rPr>
              <w:t>Format</w:t>
            </w:r>
          </w:p>
        </w:tc>
      </w:tr>
      <w:tr w14:paraId="13BE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BF3D71E">
            <w:r>
              <w:rPr>
                <w:rFonts w:ascii="Arial" w:hAnsi="Arial" w:eastAsia="Arial" w:cs="Arial"/>
                <w:b w:val="0"/>
                <w:bCs w:val="0"/>
                <w:sz w:val="18"/>
                <w:szCs w:val="18"/>
              </w:rPr>
              <w:t>BSP OF Cash Remittances (Excel)</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6236ADE">
            <w:r>
              <w:rPr>
                <w:rFonts w:ascii="Arial" w:hAnsi="Arial" w:eastAsia="Arial" w:cs="Arial"/>
                <w:b w:val="0"/>
                <w:bCs w:val="0"/>
                <w:sz w:val="18"/>
                <w:szCs w:val="18"/>
              </w:rPr>
              <w:t>Bangko Sentral ng Pilipinas</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E5F3939">
            <w:r>
              <w:rPr>
                <w:rFonts w:ascii="Arial" w:hAnsi="Arial" w:eastAsia="Arial" w:cs="Arial"/>
                <w:b w:val="0"/>
                <w:bCs w:val="0"/>
                <w:sz w:val="18"/>
                <w:szCs w:val="18"/>
              </w:rPr>
              <w:t>2013–2025 (monthly); 1989–2012 (annual)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2729263">
            <w:r>
              <w:rPr>
                <w:rFonts w:ascii="Arial" w:hAnsi="Arial" w:eastAsia="Arial" w:cs="Arial"/>
                <w:b w:val="0"/>
                <w:bCs w:val="0"/>
                <w:sz w:val="18"/>
                <w:szCs w:val="18"/>
              </w:rPr>
              <w:t>Scoped to 2019–2024 annual</w:t>
            </w:r>
          </w:p>
        </w:tc>
        <w:tc>
          <w:tcPr>
            <w:tcW w:w="1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585EA69">
            <w:r>
              <w:rPr>
                <w:rFonts w:ascii="Arial" w:hAnsi="Arial" w:eastAsia="Arial" w:cs="Arial"/>
                <w:b w:val="0"/>
                <w:bCs w:val="0"/>
                <w:sz w:val="18"/>
                <w:szCs w:val="18"/>
              </w:rPr>
              <w:t>Excel (.xlsx)</w:t>
            </w:r>
          </w:p>
        </w:tc>
      </w:tr>
      <w:tr w14:paraId="46F1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62BB502">
            <w:r>
              <w:rPr>
                <w:rFonts w:ascii="Arial" w:hAnsi="Arial" w:eastAsia="Arial" w:cs="Arial"/>
                <w:b w:val="0"/>
                <w:bCs w:val="0"/>
                <w:sz w:val="18"/>
                <w:szCs w:val="18"/>
              </w:rPr>
              <w:t>PSA Survey on Overseas Filipinos 2024</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902D285">
            <w:r>
              <w:rPr>
                <w:rFonts w:ascii="Arial" w:hAnsi="Arial" w:eastAsia="Arial" w:cs="Arial"/>
                <w:b w:val="0"/>
                <w:bCs w:val="0"/>
                <w:sz w:val="18"/>
                <w:szCs w:val="18"/>
              </w:rPr>
              <w:t>Philippine Statistics Authority</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2A2B244">
            <w:r>
              <w:rPr>
                <w:rFonts w:ascii="Arial" w:hAnsi="Arial" w:eastAsia="Arial" w:cs="Arial"/>
                <w:b w:val="0"/>
                <w:bCs w:val="0"/>
                <w:sz w:val="18"/>
                <w:szCs w:val="18"/>
              </w:rPr>
              <w:t>Apr–Sep 2024</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969BAB3">
            <w:r>
              <w:rPr>
                <w:rFonts w:ascii="Arial" w:hAnsi="Arial" w:eastAsia="Arial" w:cs="Arial"/>
                <w:b w:val="0"/>
                <w:bCs w:val="0"/>
                <w:sz w:val="18"/>
                <w:szCs w:val="18"/>
              </w:rPr>
              <w:t>Table 9</w:t>
            </w:r>
          </w:p>
        </w:tc>
        <w:tc>
          <w:tcPr>
            <w:tcW w:w="1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0A00DF4">
            <w:r>
              <w:rPr>
                <w:rFonts w:ascii="Arial" w:hAnsi="Arial" w:eastAsia="Arial" w:cs="Arial"/>
                <w:b w:val="0"/>
                <w:bCs w:val="0"/>
                <w:sz w:val="18"/>
                <w:szCs w:val="18"/>
              </w:rPr>
              <w:t>Excel (.xlsx)</w:t>
            </w:r>
          </w:p>
        </w:tc>
      </w:tr>
      <w:tr w14:paraId="3AAE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38133C">
            <w:r>
              <w:rPr>
                <w:rFonts w:ascii="Arial" w:hAnsi="Arial" w:eastAsia="Arial" w:cs="Arial"/>
                <w:b w:val="0"/>
                <w:bCs w:val="0"/>
                <w:sz w:val="18"/>
                <w:szCs w:val="18"/>
              </w:rPr>
              <w:t>PSA Survey on Overseas Filipinos 2023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6C49E1">
            <w:r>
              <w:rPr>
                <w:rFonts w:ascii="Arial" w:hAnsi="Arial" w:eastAsia="Arial" w:cs="Arial"/>
                <w:b w:val="0"/>
                <w:bCs w:val="0"/>
                <w:sz w:val="18"/>
                <w:szCs w:val="18"/>
              </w:rPr>
              <w:t>Philippine Statistics Authority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FE4084">
            <w:r>
              <w:rPr>
                <w:rFonts w:ascii="Arial" w:hAnsi="Arial" w:eastAsia="Arial" w:cs="Arial"/>
                <w:b w:val="0"/>
                <w:bCs w:val="0"/>
                <w:sz w:val="18"/>
                <w:szCs w:val="18"/>
              </w:rPr>
              <w:t>Apr–Sep 2023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7F2D39">
            <w:r>
              <w:rPr>
                <w:rFonts w:ascii="Arial" w:hAnsi="Arial" w:eastAsia="Arial" w:cs="Arial"/>
                <w:b w:val="0"/>
                <w:bCs w:val="0"/>
                <w:sz w:val="18"/>
                <w:szCs w:val="18"/>
              </w:rPr>
              <w:t>Table 9</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283C66">
            <w:r>
              <w:rPr>
                <w:rFonts w:ascii="Arial" w:hAnsi="Arial" w:eastAsia="Arial" w:cs="Arial"/>
                <w:b w:val="0"/>
                <w:bCs w:val="0"/>
                <w:sz w:val="18"/>
                <w:szCs w:val="18"/>
              </w:rPr>
              <w:t>Excel (.xlsx)</w:t>
            </w:r>
          </w:p>
        </w:tc>
      </w:tr>
      <w:tr w14:paraId="0378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3598481">
            <w:r>
              <w:rPr>
                <w:rFonts w:ascii="Arial" w:hAnsi="Arial" w:eastAsia="Arial" w:cs="Arial"/>
                <w:b w:val="0"/>
                <w:bCs w:val="0"/>
                <w:sz w:val="18"/>
                <w:szCs w:val="18"/>
              </w:rPr>
              <w:t>PSA Survey on Overseas Filipinos 2022</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7471739">
            <w:r>
              <w:rPr>
                <w:rFonts w:ascii="Arial" w:hAnsi="Arial" w:eastAsia="Arial" w:cs="Arial"/>
                <w:b w:val="0"/>
                <w:bCs w:val="0"/>
                <w:sz w:val="18"/>
                <w:szCs w:val="18"/>
              </w:rPr>
              <w:t>Philippine Statistics Authority</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7F13770">
            <w:r>
              <w:rPr>
                <w:rFonts w:ascii="Arial" w:hAnsi="Arial" w:eastAsia="Arial" w:cs="Arial"/>
                <w:b w:val="0"/>
                <w:bCs w:val="0"/>
                <w:sz w:val="18"/>
                <w:szCs w:val="18"/>
              </w:rPr>
              <w:t>Apr–Sep 2022</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A0FF15B">
            <w:r>
              <w:rPr>
                <w:rFonts w:ascii="Arial" w:hAnsi="Arial" w:eastAsia="Arial" w:cs="Arial"/>
                <w:b w:val="0"/>
                <w:bCs w:val="0"/>
                <w:sz w:val="18"/>
                <w:szCs w:val="18"/>
              </w:rPr>
              <w:t>Table 9</w:t>
            </w:r>
          </w:p>
        </w:tc>
        <w:tc>
          <w:tcPr>
            <w:tcW w:w="1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3218672">
            <w:r>
              <w:rPr>
                <w:rFonts w:ascii="Arial" w:hAnsi="Arial" w:eastAsia="Arial" w:cs="Arial"/>
                <w:b w:val="0"/>
                <w:bCs w:val="0"/>
                <w:sz w:val="18"/>
                <w:szCs w:val="18"/>
              </w:rPr>
              <w:t>Excel (.xlsx)</w:t>
            </w:r>
          </w:p>
        </w:tc>
      </w:tr>
      <w:tr w14:paraId="4066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BF3133">
            <w:r>
              <w:rPr>
                <w:rFonts w:ascii="Arial" w:hAnsi="Arial" w:eastAsia="Arial" w:cs="Arial"/>
                <w:b w:val="0"/>
                <w:bCs w:val="0"/>
                <w:sz w:val="18"/>
                <w:szCs w:val="18"/>
              </w:rPr>
              <w:t>PSA Survey on Overseas Filipinos 2021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D404CA">
            <w:r>
              <w:rPr>
                <w:rFonts w:ascii="Arial" w:hAnsi="Arial" w:eastAsia="Arial" w:cs="Arial"/>
                <w:b w:val="0"/>
                <w:bCs w:val="0"/>
                <w:sz w:val="18"/>
                <w:szCs w:val="18"/>
              </w:rPr>
              <w:t>Philippine Statistics Authority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2CF1A1">
            <w:r>
              <w:rPr>
                <w:rFonts w:ascii="Arial" w:hAnsi="Arial" w:eastAsia="Arial" w:cs="Arial"/>
                <w:b w:val="0"/>
                <w:bCs w:val="0"/>
                <w:sz w:val="18"/>
                <w:szCs w:val="18"/>
              </w:rPr>
              <w:t>Apr–Sep 2021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8E9636">
            <w:r>
              <w:rPr>
                <w:rFonts w:ascii="Arial" w:hAnsi="Arial" w:eastAsia="Arial" w:cs="Arial"/>
                <w:b w:val="0"/>
                <w:bCs w:val="0"/>
                <w:sz w:val="18"/>
                <w:szCs w:val="18"/>
              </w:rPr>
              <w:t>Table 9</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4FCE8C">
            <w:r>
              <w:rPr>
                <w:rFonts w:ascii="Arial" w:hAnsi="Arial" w:eastAsia="Arial" w:cs="Arial"/>
                <w:b w:val="0"/>
                <w:bCs w:val="0"/>
                <w:sz w:val="18"/>
                <w:szCs w:val="18"/>
              </w:rPr>
              <w:t>Excel (.xlsx)</w:t>
            </w:r>
          </w:p>
        </w:tc>
      </w:tr>
      <w:tr w14:paraId="4864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2C5478E">
            <w:r>
              <w:rPr>
                <w:rFonts w:ascii="Arial" w:hAnsi="Arial" w:eastAsia="Arial" w:cs="Arial"/>
                <w:b w:val="0"/>
                <w:bCs w:val="0"/>
                <w:sz w:val="18"/>
                <w:szCs w:val="18"/>
              </w:rPr>
              <w:t>PSA Survey on Overseas Filipinos 2020</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46F5E81">
            <w:r>
              <w:rPr>
                <w:rFonts w:ascii="Arial" w:hAnsi="Arial" w:eastAsia="Arial" w:cs="Arial"/>
                <w:b w:val="0"/>
                <w:bCs w:val="0"/>
                <w:sz w:val="18"/>
                <w:szCs w:val="18"/>
              </w:rPr>
              <w:t>Philippine Statistics Authority</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34211A6">
            <w:r>
              <w:rPr>
                <w:rFonts w:ascii="Arial" w:hAnsi="Arial" w:eastAsia="Arial" w:cs="Arial"/>
                <w:b w:val="0"/>
                <w:bCs w:val="0"/>
                <w:sz w:val="18"/>
                <w:szCs w:val="18"/>
              </w:rPr>
              <w:t>Apr–Sep 20</w:t>
            </w:r>
            <w:r>
              <w:rPr>
                <w:rFonts w:hint="default" w:ascii="Arial" w:hAnsi="Arial" w:eastAsia="Arial" w:cs="Arial"/>
                <w:b w:val="0"/>
                <w:bCs w:val="0"/>
                <w:sz w:val="18"/>
                <w:szCs w:val="18"/>
                <w:lang w:val="en-US"/>
              </w:rPr>
              <w:t xml:space="preserve">19, </w:t>
            </w:r>
            <w:r>
              <w:rPr>
                <w:rFonts w:ascii="Arial" w:hAnsi="Arial" w:eastAsia="Arial" w:cs="Arial"/>
                <w:b w:val="0"/>
                <w:bCs w:val="0"/>
                <w:sz w:val="18"/>
                <w:szCs w:val="18"/>
              </w:rPr>
              <w:t>Apr–Sep 2020</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7D1EDDB">
            <w:r>
              <w:rPr>
                <w:rFonts w:ascii="Arial" w:hAnsi="Arial" w:eastAsia="Arial" w:cs="Arial"/>
                <w:b w:val="0"/>
                <w:bCs w:val="0"/>
                <w:sz w:val="18"/>
                <w:szCs w:val="18"/>
              </w:rPr>
              <w:t>Table 6 (restructured)</w:t>
            </w:r>
          </w:p>
        </w:tc>
        <w:tc>
          <w:tcPr>
            <w:tcW w:w="1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EFC17E0">
            <w:r>
              <w:rPr>
                <w:rFonts w:ascii="Arial" w:hAnsi="Arial" w:eastAsia="Arial" w:cs="Arial"/>
                <w:b w:val="0"/>
                <w:bCs w:val="0"/>
                <w:sz w:val="18"/>
                <w:szCs w:val="18"/>
              </w:rPr>
              <w:t>Excel (.xlsx)</w:t>
            </w:r>
          </w:p>
        </w:tc>
      </w:tr>
    </w:tbl>
    <w:p w14:paraId="4E3B5480">
      <w:pPr>
        <w:spacing w:before="80" w:after="0"/>
      </w:pPr>
    </w:p>
    <w:p w14:paraId="640273F0">
      <w:pPr>
        <w:spacing w:before="60" w:after="60"/>
      </w:pPr>
      <w:r>
        <w:rPr>
          <w:rFonts w:ascii="Arial" w:hAnsi="Arial" w:eastAsia="Arial" w:cs="Arial"/>
          <w:i/>
          <w:iCs/>
          <w:color w:val="555555"/>
          <w:sz w:val="20"/>
          <w:szCs w:val="20"/>
        </w:rPr>
        <w:t>Note: BSP Excel file contains historical monthly data back to 2013 and annual data to 1989. Only 2019–2024 annual data is used in this analysis. The existence of long-term historical records further supports source credibility.</w:t>
      </w:r>
    </w:p>
    <w:p w14:paraId="16CC82AB">
      <w:pPr>
        <w:spacing w:before="120" w:after="0"/>
      </w:pPr>
    </w:p>
    <w:p w14:paraId="74B13F85">
      <w:pPr>
        <w:pStyle w:val="2"/>
        <w:spacing w:before="360" w:after="120"/>
      </w:pPr>
      <w:r>
        <w:rPr>
          <w:rFonts w:ascii="Arial" w:hAnsi="Arial" w:eastAsia="Arial" w:cs="Arial"/>
          <w:b/>
          <w:bCs/>
          <w:color w:val="1F4E79"/>
          <w:sz w:val="28"/>
          <w:szCs w:val="28"/>
        </w:rPr>
        <w:t>3. Detailed Source Descriptions</w:t>
      </w:r>
    </w:p>
    <w:p w14:paraId="2205A3C0">
      <w:pPr>
        <w:pStyle w:val="3"/>
        <w:spacing w:before="240" w:after="100"/>
      </w:pPr>
      <w:r>
        <w:rPr>
          <w:rFonts w:ascii="Arial" w:hAnsi="Arial" w:eastAsia="Arial" w:cs="Arial"/>
          <w:b/>
          <w:bCs/>
          <w:color w:val="2E75B6"/>
          <w:sz w:val="24"/>
          <w:szCs w:val="24"/>
        </w:rPr>
        <w:t>3.1  BSP OF Cash Remittances by Country (Excel)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499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6921107">
            <w:r>
              <w:rPr>
                <w:rFonts w:ascii="Arial" w:hAnsi="Arial" w:eastAsia="Arial" w:cs="Arial"/>
                <w:b/>
                <w:bCs/>
                <w:sz w:val="18"/>
                <w:szCs w:val="18"/>
              </w:rPr>
              <w:t>Publisher</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1E08B8A">
            <w:r>
              <w:rPr>
                <w:rFonts w:ascii="Arial" w:hAnsi="Arial" w:eastAsia="Arial" w:cs="Arial"/>
                <w:b w:val="0"/>
                <w:bCs w:val="0"/>
                <w:sz w:val="18"/>
                <w:szCs w:val="18"/>
              </w:rPr>
              <w:t>Bangko Sentral ng Pilipinas (BSP) — Department of Economic Statistics</w:t>
            </w:r>
          </w:p>
        </w:tc>
      </w:tr>
      <w:tr w14:paraId="1999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8A82A6">
            <w:r>
              <w:rPr>
                <w:rFonts w:ascii="Arial" w:hAnsi="Arial" w:eastAsia="Arial" w:cs="Arial"/>
                <w:b/>
                <w:bCs/>
                <w:sz w:val="18"/>
                <w:szCs w:val="18"/>
              </w:rPr>
              <w:t>URL</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F65D06">
            <w:r>
              <w:rPr>
                <w:rFonts w:ascii="Arial" w:hAnsi="Arial" w:eastAsia="Arial" w:cs="Arial"/>
                <w:b w:val="0"/>
                <w:bCs w:val="0"/>
                <w:sz w:val="18"/>
                <w:szCs w:val="18"/>
              </w:rPr>
              <w:t>https://www.bsp.gov.ph/SitePages/Statistics/External.aspx?TabId=8</w:t>
            </w:r>
          </w:p>
        </w:tc>
      </w:tr>
      <w:tr w14:paraId="4F54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3F46442">
            <w:r>
              <w:rPr>
                <w:rFonts w:ascii="Arial" w:hAnsi="Arial" w:eastAsia="Arial" w:cs="Arial"/>
                <w:b/>
                <w:bCs/>
                <w:sz w:val="18"/>
                <w:szCs w:val="18"/>
              </w:rPr>
              <w:t>Update Frequency</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818FC98">
            <w:r>
              <w:rPr>
                <w:rFonts w:ascii="Arial" w:hAnsi="Arial" w:eastAsia="Arial" w:cs="Arial"/>
                <w:b w:val="0"/>
                <w:bCs w:val="0"/>
                <w:sz w:val="18"/>
                <w:szCs w:val="18"/>
              </w:rPr>
              <w:t>Monthly (preliminary data released the following month)</w:t>
            </w:r>
          </w:p>
        </w:tc>
      </w:tr>
      <w:tr w14:paraId="64C4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0102BE">
            <w:r>
              <w:rPr>
                <w:rFonts w:ascii="Arial" w:hAnsi="Arial" w:eastAsia="Arial" w:cs="Arial"/>
                <w:b/>
                <w:bCs/>
                <w:sz w:val="18"/>
                <w:szCs w:val="18"/>
              </w:rPr>
              <w:t>Full Coverage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EEC02C">
            <w:r>
              <w:rPr>
                <w:rFonts w:ascii="Arial" w:hAnsi="Arial" w:eastAsia="Arial" w:cs="Arial"/>
                <w:b w:val="0"/>
                <w:bCs w:val="0"/>
                <w:sz w:val="18"/>
                <w:szCs w:val="18"/>
              </w:rPr>
              <w:t>Monthly: 2013–2025; Annual summary sheets: 2008–2012, 1989–2007</w:t>
            </w:r>
          </w:p>
        </w:tc>
      </w:tr>
      <w:tr w14:paraId="54BE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CD574A5">
            <w:r>
              <w:rPr>
                <w:rFonts w:ascii="Arial" w:hAnsi="Arial" w:eastAsia="Arial" w:cs="Arial"/>
                <w:b/>
                <w:bCs/>
                <w:sz w:val="18"/>
                <w:szCs w:val="18"/>
              </w:rPr>
              <w:t>Scoped Coverage</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200E0ED">
            <w:r>
              <w:rPr>
                <w:rFonts w:ascii="Arial" w:hAnsi="Arial" w:eastAsia="Arial" w:cs="Arial"/>
                <w:b w:val="0"/>
                <w:bCs w:val="0"/>
                <w:sz w:val="18"/>
                <w:szCs w:val="18"/>
              </w:rPr>
              <w:t>Annual data, 2019–2024 (6 years: 1 pre-pandemic baseline, 2 pandemic/recovery, 3 post-pandemic)</w:t>
            </w:r>
          </w:p>
        </w:tc>
      </w:tr>
      <w:tr w14:paraId="58A1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993CE5">
            <w:r>
              <w:rPr>
                <w:rFonts w:ascii="Arial" w:hAnsi="Arial" w:eastAsia="Arial" w:cs="Arial"/>
                <w:b/>
                <w:bCs/>
                <w:sz w:val="18"/>
                <w:szCs w:val="18"/>
              </w:rPr>
              <w:t>Granularity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703A58">
            <w:r>
              <w:rPr>
                <w:rFonts w:ascii="Arial" w:hAnsi="Arial" w:eastAsia="Arial" w:cs="Arial"/>
                <w:b w:val="0"/>
                <w:bCs w:val="0"/>
                <w:sz w:val="18"/>
                <w:szCs w:val="18"/>
              </w:rPr>
              <w:t>Country-level; split by land-based and sea-based workers; full 2025 annual data available</w:t>
            </w:r>
          </w:p>
        </w:tc>
      </w:tr>
      <w:tr w14:paraId="21A8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9ADC19F">
            <w:r>
              <w:rPr>
                <w:rFonts w:ascii="Arial" w:hAnsi="Arial" w:eastAsia="Arial" w:cs="Arial"/>
                <w:b/>
                <w:bCs/>
                <w:sz w:val="18"/>
                <w:szCs w:val="18"/>
              </w:rPr>
              <w:t>Unit</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4DB3248">
            <w:r>
              <w:rPr>
                <w:rFonts w:ascii="Arial" w:hAnsi="Arial" w:eastAsia="Arial" w:cs="Arial"/>
                <w:b w:val="0"/>
                <w:bCs w:val="0"/>
                <w:sz w:val="18"/>
                <w:szCs w:val="18"/>
              </w:rPr>
              <w:t>Thousand US Dollars</w:t>
            </w:r>
          </w:p>
        </w:tc>
      </w:tr>
      <w:tr w14:paraId="6D77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0E6D62">
            <w:r>
              <w:rPr>
                <w:rFonts w:ascii="Arial" w:hAnsi="Arial" w:eastAsia="Arial" w:cs="Arial"/>
                <w:b/>
                <w:bCs/>
                <w:sz w:val="18"/>
                <w:szCs w:val="18"/>
              </w:rPr>
              <w:t>File Format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07191B">
            <w:r>
              <w:rPr>
                <w:rFonts w:ascii="Arial" w:hAnsi="Arial" w:eastAsia="Arial" w:cs="Arial"/>
                <w:b w:val="0"/>
                <w:bCs w:val="0"/>
                <w:sz w:val="18"/>
                <w:szCs w:val="18"/>
              </w:rPr>
              <w:t>Excel (.xlsx)</w:t>
            </w:r>
          </w:p>
        </w:tc>
      </w:tr>
    </w:tbl>
    <w:p w14:paraId="1746EAD4">
      <w:pPr>
        <w:spacing w:before="80" w:after="0"/>
      </w:pPr>
    </w:p>
    <w:p w14:paraId="1F6C6961">
      <w:pPr>
        <w:spacing w:before="180" w:after="80"/>
      </w:pPr>
      <w:r>
        <w:rPr>
          <w:rFonts w:ascii="Arial" w:hAnsi="Arial" w:eastAsia="Arial" w:cs="Arial"/>
          <w:b/>
          <w:bCs/>
          <w:color w:val="2F5496"/>
          <w:sz w:val="22"/>
          <w:szCs w:val="22"/>
        </w:rPr>
        <w:t>Relevance to Business Task</w:t>
      </w:r>
    </w:p>
    <w:p w14:paraId="1854CEA7">
      <w:pPr>
        <w:pStyle w:val="14"/>
        <w:numPr>
          <w:ilvl w:val="0"/>
          <w:numId w:val="1"/>
        </w:numPr>
        <w:spacing w:before="40" w:after="40"/>
      </w:pPr>
      <w:r>
        <w:rPr>
          <w:rFonts w:ascii="Arial" w:hAnsi="Arial" w:eastAsia="Arial" w:cs="Arial"/>
          <w:sz w:val="20"/>
          <w:szCs w:val="20"/>
        </w:rPr>
        <w:t>Primary dataset for identifying high-volume corridors by source country.</w:t>
      </w:r>
    </w:p>
    <w:p w14:paraId="519C7275">
      <w:pPr>
        <w:pStyle w:val="14"/>
        <w:numPr>
          <w:ilvl w:val="0"/>
          <w:numId w:val="1"/>
        </w:numPr>
        <w:spacing w:before="40" w:after="40"/>
      </w:pPr>
      <w:r>
        <w:rPr>
          <w:rFonts w:ascii="Arial" w:hAnsi="Arial" w:eastAsia="Arial" w:cs="Arial"/>
          <w:sz w:val="20"/>
          <w:szCs w:val="20"/>
        </w:rPr>
        <w:t>Country-level breakdown enables direct corridor ranking (e.g., US, Saudi Arabia, UAE, Singapore).</w:t>
      </w:r>
    </w:p>
    <w:p w14:paraId="1AACF6C9">
      <w:pPr>
        <w:pStyle w:val="14"/>
        <w:numPr>
          <w:ilvl w:val="0"/>
          <w:numId w:val="1"/>
        </w:numPr>
        <w:spacing w:before="40" w:after="40"/>
      </w:pPr>
      <w:r>
        <w:rPr>
          <w:rFonts w:ascii="Arial" w:hAnsi="Arial" w:eastAsia="Arial" w:cs="Arial"/>
          <w:sz w:val="20"/>
          <w:szCs w:val="20"/>
        </w:rPr>
        <w:t>Land-based vs. sea-based split provides additional segmentation for recommendations.</w:t>
      </w:r>
    </w:p>
    <w:p w14:paraId="049425A2">
      <w:pPr>
        <w:pStyle w:val="14"/>
        <w:numPr>
          <w:ilvl w:val="0"/>
          <w:numId w:val="1"/>
        </w:numPr>
        <w:spacing w:before="40" w:after="40"/>
      </w:pPr>
      <w:r>
        <w:rPr>
          <w:rFonts w:ascii="Arial" w:hAnsi="Arial" w:eastAsia="Arial" w:cs="Arial"/>
          <w:sz w:val="20"/>
          <w:szCs w:val="20"/>
        </w:rPr>
        <w:t>2019–2024 range enables pre-pandemic baseline, pandemic impact, and post-pandemic recovery analysis.</w:t>
      </w:r>
    </w:p>
    <w:p w14:paraId="78F7E7CF">
      <w:pPr>
        <w:spacing w:before="80" w:after="0"/>
      </w:pPr>
    </w:p>
    <w:p w14:paraId="447E0569">
      <w:pPr>
        <w:spacing w:before="180" w:after="80"/>
      </w:pPr>
      <w:r>
        <w:rPr>
          <w:rFonts w:ascii="Arial" w:hAnsi="Arial" w:eastAsia="Arial" w:cs="Arial"/>
          <w:b/>
          <w:bCs/>
          <w:color w:val="2F5496"/>
          <w:sz w:val="22"/>
          <w:szCs w:val="22"/>
        </w:rPr>
        <w:t>ROCCC Assessment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1"/>
        <w:gridCol w:w="1192"/>
        <w:gridCol w:w="6537"/>
      </w:tblGrid>
      <w:tr w14:paraId="391E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123FEAF6">
            <w:r>
              <w:rPr>
                <w:rFonts w:ascii="Arial" w:hAnsi="Arial" w:eastAsia="Arial" w:cs="Arial"/>
                <w:b/>
                <w:bCs/>
                <w:color w:val="FFFFFF"/>
                <w:sz w:val="18"/>
                <w:szCs w:val="18"/>
              </w:rPr>
              <w:t>Criterion</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0958C5EC">
            <w:r>
              <w:rPr>
                <w:rFonts w:ascii="Arial" w:hAnsi="Arial" w:eastAsia="Arial" w:cs="Arial"/>
                <w:b/>
                <w:bCs/>
                <w:color w:val="FFFFFF"/>
                <w:sz w:val="18"/>
                <w:szCs w:val="18"/>
              </w:rPr>
              <w:t>Rating</w:t>
            </w:r>
          </w:p>
        </w:tc>
        <w:tc>
          <w:tcPr>
            <w:tcW w:w="666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0D8195C1">
            <w:r>
              <w:rPr>
                <w:rFonts w:ascii="Arial" w:hAnsi="Arial" w:eastAsia="Arial" w:cs="Arial"/>
                <w:b/>
                <w:bCs/>
                <w:color w:val="FFFFFF"/>
                <w:sz w:val="18"/>
                <w:szCs w:val="18"/>
              </w:rPr>
              <w:t>Justification</w:t>
            </w:r>
          </w:p>
        </w:tc>
      </w:tr>
      <w:tr w14:paraId="3627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552A3BB">
            <w:r>
              <w:rPr>
                <w:rFonts w:ascii="Arial" w:hAnsi="Arial" w:eastAsia="Arial" w:cs="Arial"/>
                <w:b/>
                <w:bCs/>
                <w:sz w:val="18"/>
                <w:szCs w:val="18"/>
              </w:rPr>
              <w:t>Reliable</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41470F2F">
            <w:pPr>
              <w:jc w:val="center"/>
            </w:pPr>
            <w:r>
              <w:rPr>
                <w:rFonts w:ascii="Arial" w:hAnsi="Arial" w:eastAsia="Arial" w:cs="Arial"/>
                <w:b/>
                <w:bCs/>
                <w:sz w:val="18"/>
                <w:szCs w:val="18"/>
              </w:rPr>
              <w:t xml:space="preserve"> Yes</w:t>
            </w:r>
          </w:p>
        </w:tc>
        <w:tc>
          <w:tcPr>
            <w:tcW w:w="6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E36C005">
            <w:r>
              <w:rPr>
                <w:rFonts w:ascii="Arial" w:hAnsi="Arial" w:eastAsia="Arial" w:cs="Arial"/>
                <w:b w:val="0"/>
                <w:bCs w:val="0"/>
                <w:sz w:val="18"/>
                <w:szCs w:val="18"/>
              </w:rPr>
              <w:t>Published directly by the BSP, the Philippines' central bank and primary monetary authority. Data is used in official Balance of Payments reporting.</w:t>
            </w:r>
          </w:p>
        </w:tc>
      </w:tr>
      <w:tr w14:paraId="135C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3D3AF5F">
            <w:r>
              <w:rPr>
                <w:rFonts w:ascii="Arial" w:hAnsi="Arial" w:eastAsia="Arial" w:cs="Arial"/>
                <w:b/>
                <w:bCs/>
                <w:sz w:val="18"/>
                <w:szCs w:val="18"/>
              </w:rPr>
              <w:t>Original</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293A6F10">
            <w:pPr>
              <w:jc w:val="center"/>
            </w:pPr>
            <w:r>
              <w:rPr>
                <w:rFonts w:ascii="Arial" w:hAnsi="Arial" w:eastAsia="Arial" w:cs="Arial"/>
                <w:b/>
                <w:bCs/>
                <w:sz w:val="18"/>
                <w:szCs w:val="18"/>
              </w:rPr>
              <w:t xml:space="preserve"> Yes</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0A0B4C">
            <w:r>
              <w:rPr>
                <w:rFonts w:ascii="Arial" w:hAnsi="Arial" w:eastAsia="Arial" w:cs="Arial"/>
                <w:b w:val="0"/>
                <w:bCs w:val="0"/>
                <w:sz w:val="18"/>
                <w:szCs w:val="18"/>
              </w:rPr>
              <w:t>Primary source — BSP compiles directly from authorized agent banks (AABs) that process international remittance transfers.</w:t>
            </w:r>
          </w:p>
        </w:tc>
      </w:tr>
      <w:tr w14:paraId="06E1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32FC96C">
            <w:r>
              <w:rPr>
                <w:rFonts w:ascii="Arial" w:hAnsi="Arial" w:eastAsia="Arial" w:cs="Arial"/>
                <w:b/>
                <w:bCs/>
                <w:sz w:val="18"/>
                <w:szCs w:val="18"/>
              </w:rPr>
              <w:t>Comprehensive</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0D0C9D46">
            <w:pPr>
              <w:jc w:val="center"/>
            </w:pPr>
            <w:r>
              <w:rPr>
                <w:rFonts w:ascii="Arial" w:hAnsi="Arial" w:eastAsia="Arial" w:cs="Arial"/>
                <w:b/>
                <w:bCs/>
                <w:sz w:val="18"/>
                <w:szCs w:val="18"/>
              </w:rPr>
              <w:t xml:space="preserve"> Mostly</w:t>
            </w:r>
          </w:p>
        </w:tc>
        <w:tc>
          <w:tcPr>
            <w:tcW w:w="6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0D6CB8C">
            <w:r>
              <w:rPr>
                <w:rFonts w:ascii="Arial" w:hAnsi="Arial" w:eastAsia="Arial" w:cs="Arial"/>
                <w:b w:val="0"/>
                <w:bCs w:val="0"/>
                <w:sz w:val="18"/>
                <w:szCs w:val="18"/>
              </w:rPr>
              <w:t>Covers all registered source countries. Minor caveat: US figures are partially inflated because global remittance centers often route transfers through US correspondent banks (see Known Limitations).</w:t>
            </w:r>
          </w:p>
        </w:tc>
      </w:tr>
      <w:tr w14:paraId="43C9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F9CF76">
            <w:r>
              <w:rPr>
                <w:rFonts w:ascii="Arial" w:hAnsi="Arial" w:eastAsia="Arial" w:cs="Arial"/>
                <w:b/>
                <w:bCs/>
                <w:sz w:val="18"/>
                <w:szCs w:val="18"/>
              </w:rPr>
              <w:t>Current</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1CBF54F6">
            <w:pPr>
              <w:jc w:val="center"/>
            </w:pPr>
            <w:r>
              <w:rPr>
                <w:rFonts w:ascii="Arial" w:hAnsi="Arial" w:eastAsia="Arial" w:cs="Arial"/>
                <w:b/>
                <w:bCs/>
                <w:sz w:val="18"/>
                <w:szCs w:val="18"/>
              </w:rPr>
              <w:t xml:space="preserve"> Yes</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CF77B2">
            <w:r>
              <w:rPr>
                <w:rFonts w:ascii="Arial" w:hAnsi="Arial" w:eastAsia="Arial" w:cs="Arial"/>
                <w:b w:val="0"/>
                <w:bCs w:val="0"/>
                <w:sz w:val="18"/>
                <w:szCs w:val="18"/>
              </w:rPr>
              <w:t>Data is updated monthly. Full 2025 annual data is already included in the file, making this the most current source in the dataset.</w:t>
            </w:r>
          </w:p>
        </w:tc>
      </w:tr>
      <w:tr w14:paraId="14C5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543220D">
            <w:r>
              <w:rPr>
                <w:rFonts w:ascii="Arial" w:hAnsi="Arial" w:eastAsia="Arial" w:cs="Arial"/>
                <w:b/>
                <w:bCs/>
                <w:sz w:val="18"/>
                <w:szCs w:val="18"/>
              </w:rPr>
              <w:t>Cited</w:t>
            </w:r>
          </w:p>
        </w:tc>
        <w:tc>
          <w:tcPr>
            <w:tcW w:w="1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727CF67B">
            <w:pPr>
              <w:jc w:val="center"/>
            </w:pPr>
            <w:r>
              <w:rPr>
                <w:rFonts w:ascii="Arial" w:hAnsi="Arial" w:eastAsia="Arial" w:cs="Arial"/>
                <w:b/>
                <w:bCs/>
                <w:sz w:val="18"/>
                <w:szCs w:val="18"/>
              </w:rPr>
              <w:t xml:space="preserve"> Yes</w:t>
            </w:r>
          </w:p>
        </w:tc>
        <w:tc>
          <w:tcPr>
            <w:tcW w:w="66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B6B54DF">
            <w:r>
              <w:rPr>
                <w:rFonts w:ascii="Arial" w:hAnsi="Arial" w:eastAsia="Arial" w:cs="Arial"/>
                <w:b w:val="0"/>
                <w:bCs w:val="0"/>
                <w:sz w:val="18"/>
                <w:szCs w:val="18"/>
              </w:rPr>
              <w:t>Widely cited in BSP research papers, World Bank reports, and academic literature on Philippine remittances.</w:t>
            </w:r>
          </w:p>
        </w:tc>
      </w:tr>
    </w:tbl>
    <w:p w14:paraId="535049C7">
      <w:pPr>
        <w:spacing w:before="80" w:after="0"/>
      </w:pPr>
    </w:p>
    <w:p w14:paraId="3FC0FE18">
      <w:pPr>
        <w:spacing w:before="120" w:after="0"/>
      </w:pPr>
    </w:p>
    <w:p w14:paraId="436B8FBF">
      <w:pPr>
        <w:spacing w:before="120" w:after="0"/>
      </w:pPr>
    </w:p>
    <w:p w14:paraId="60D2260B">
      <w:pPr>
        <w:spacing w:before="120" w:after="0"/>
      </w:pPr>
    </w:p>
    <w:p w14:paraId="46B04BBA">
      <w:pPr>
        <w:spacing w:before="120" w:after="0"/>
      </w:pPr>
    </w:p>
    <w:p w14:paraId="51449256">
      <w:pPr>
        <w:pStyle w:val="3"/>
        <w:spacing w:before="240" w:after="100"/>
      </w:pPr>
      <w:r>
        <w:rPr>
          <w:rFonts w:ascii="Arial" w:hAnsi="Arial" w:eastAsia="Arial" w:cs="Arial"/>
          <w:b/>
          <w:bCs/>
          <w:color w:val="2E75B6"/>
          <w:sz w:val="24"/>
          <w:szCs w:val="24"/>
        </w:rPr>
        <w:t>3.</w:t>
      </w:r>
      <w:r>
        <w:rPr>
          <w:rFonts w:hint="default" w:cs="Arial"/>
          <w:b/>
          <w:bCs/>
          <w:color w:val="2E75B6"/>
          <w:sz w:val="24"/>
          <w:szCs w:val="24"/>
          <w:lang w:val="en-US"/>
        </w:rPr>
        <w:t>2</w:t>
      </w:r>
      <w:r>
        <w:rPr>
          <w:rFonts w:ascii="Arial" w:hAnsi="Arial" w:eastAsia="Arial" w:cs="Arial"/>
          <w:b/>
          <w:bCs/>
          <w:color w:val="2E75B6"/>
          <w:sz w:val="24"/>
          <w:szCs w:val="24"/>
        </w:rPr>
        <w:t xml:space="preserve">  PSA Survey on Overseas Filipinos (SOF), 2019–2024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A02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F8BA026">
            <w:r>
              <w:rPr>
                <w:rFonts w:ascii="Arial" w:hAnsi="Arial" w:eastAsia="Arial" w:cs="Arial"/>
                <w:b/>
                <w:bCs/>
                <w:sz w:val="18"/>
                <w:szCs w:val="18"/>
              </w:rPr>
              <w:t>Publisher</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1B98A2D">
            <w:r>
              <w:rPr>
                <w:rFonts w:ascii="Arial" w:hAnsi="Arial" w:eastAsia="Arial" w:cs="Arial"/>
                <w:b w:val="0"/>
                <w:bCs w:val="0"/>
                <w:sz w:val="18"/>
                <w:szCs w:val="18"/>
              </w:rPr>
              <w:t>Philippine Statistics Authority (PSA)</w:t>
            </w:r>
          </w:p>
        </w:tc>
      </w:tr>
      <w:tr w14:paraId="3CE4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B08A66">
            <w:r>
              <w:rPr>
                <w:rFonts w:ascii="Arial" w:hAnsi="Arial" w:eastAsia="Arial" w:cs="Arial"/>
                <w:b/>
                <w:bCs/>
                <w:sz w:val="18"/>
                <w:szCs w:val="18"/>
              </w:rPr>
              <w:t>URL (2024)</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072584">
            <w:r>
              <w:rPr>
                <w:rFonts w:ascii="Arial" w:hAnsi="Arial" w:eastAsia="Arial" w:cs="Arial"/>
                <w:b w:val="0"/>
                <w:bCs w:val="0"/>
                <w:sz w:val="18"/>
                <w:szCs w:val="18"/>
              </w:rPr>
              <w:t>https://psa.gov.ph/statistics/survey/labor-and-employment/survey-overseas-filipinos</w:t>
            </w:r>
          </w:p>
        </w:tc>
      </w:tr>
      <w:tr w14:paraId="68398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9B070FC">
            <w:r>
              <w:rPr>
                <w:rFonts w:ascii="Arial" w:hAnsi="Arial" w:eastAsia="Arial" w:cs="Arial"/>
                <w:b/>
                <w:bCs/>
                <w:sz w:val="18"/>
                <w:szCs w:val="18"/>
              </w:rPr>
              <w:t>Survey Period</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B0FA7CE">
            <w:r>
              <w:rPr>
                <w:rFonts w:ascii="Arial" w:hAnsi="Arial" w:eastAsia="Arial" w:cs="Arial"/>
                <w:b w:val="0"/>
                <w:bCs w:val="0"/>
                <w:sz w:val="18"/>
                <w:szCs w:val="18"/>
              </w:rPr>
              <w:t>April–September of each survey year (6-month window)</w:t>
            </w:r>
          </w:p>
        </w:tc>
      </w:tr>
      <w:tr w14:paraId="3979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864883">
            <w:r>
              <w:rPr>
                <w:rFonts w:ascii="Arial" w:hAnsi="Arial" w:eastAsia="Arial" w:cs="Arial"/>
                <w:b/>
                <w:bCs/>
                <w:sz w:val="18"/>
                <w:szCs w:val="18"/>
              </w:rPr>
              <w:t>Files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87FA04">
            <w:r>
              <w:rPr>
                <w:rFonts w:ascii="Arial" w:hAnsi="Arial" w:eastAsia="Arial" w:cs="Arial"/>
                <w:b w:val="0"/>
                <w:bCs w:val="0"/>
                <w:sz w:val="18"/>
                <w:szCs w:val="18"/>
              </w:rPr>
              <w:t>Six annual files (2019–2024), each containing multiple Excel tables</w:t>
            </w:r>
          </w:p>
        </w:tc>
      </w:tr>
      <w:tr w14:paraId="3DA6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C908133">
            <w:r>
              <w:rPr>
                <w:rFonts w:ascii="Arial" w:hAnsi="Arial" w:eastAsia="Arial" w:cs="Arial"/>
                <w:b/>
                <w:bCs/>
                <w:sz w:val="18"/>
                <w:szCs w:val="18"/>
              </w:rPr>
              <w:t>Tables Used (2021–2024)</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67A6F76">
            <w:r>
              <w:rPr>
                <w:rFonts w:ascii="Arial" w:hAnsi="Arial" w:eastAsia="Arial" w:cs="Arial"/>
                <w:b w:val="0"/>
                <w:bCs w:val="0"/>
                <w:sz w:val="18"/>
                <w:szCs w:val="18"/>
              </w:rPr>
              <w:t>Table 9 (Cash Remittance by Mode of Transfer)</w:t>
            </w:r>
          </w:p>
        </w:tc>
      </w:tr>
      <w:tr w14:paraId="4A3E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F0FAE9">
            <w:r>
              <w:rPr>
                <w:rFonts w:ascii="Arial" w:hAnsi="Arial" w:eastAsia="Arial" w:cs="Arial"/>
                <w:b/>
                <w:bCs/>
                <w:sz w:val="18"/>
                <w:szCs w:val="18"/>
              </w:rPr>
              <w:t>Tables Used (2019–2020)</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D593AF">
            <w:r>
              <w:rPr>
                <w:rFonts w:ascii="Arial" w:hAnsi="Arial" w:eastAsia="Arial" w:cs="Arial"/>
                <w:b w:val="0"/>
                <w:bCs w:val="0"/>
                <w:sz w:val="18"/>
                <w:szCs w:val="18"/>
              </w:rPr>
              <w:t>Table 6 (Mode of Remittance, equivalent to Table 9)</w:t>
            </w:r>
          </w:p>
        </w:tc>
      </w:tr>
      <w:tr w14:paraId="43548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5A65B7C">
            <w:r>
              <w:rPr>
                <w:rFonts w:ascii="Arial" w:hAnsi="Arial" w:eastAsia="Arial" w:cs="Arial"/>
                <w:b/>
                <w:bCs/>
                <w:sz w:val="18"/>
                <w:szCs w:val="18"/>
              </w:rPr>
              <w:t>Unit</w:t>
            </w:r>
          </w:p>
        </w:tc>
        <w:tc>
          <w:tcPr>
            <w:tcW w:w="7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D3AF7A0">
            <w:r>
              <w:rPr>
                <w:rFonts w:ascii="Arial" w:hAnsi="Arial" w:eastAsia="Arial" w:cs="Arial"/>
                <w:b w:val="0"/>
                <w:bCs w:val="0"/>
                <w:sz w:val="18"/>
                <w:szCs w:val="18"/>
              </w:rPr>
              <w:t>Philippine Peso (PhP); counts in thousands</w:t>
            </w:r>
          </w:p>
        </w:tc>
      </w:tr>
    </w:tbl>
    <w:p w14:paraId="4C4115B7">
      <w:pPr>
        <w:spacing w:before="180" w:after="80"/>
      </w:pPr>
      <w:r>
        <w:rPr>
          <w:rFonts w:ascii="Arial" w:hAnsi="Arial" w:eastAsia="Arial" w:cs="Arial"/>
          <w:b/>
          <w:bCs/>
          <w:color w:val="2F5496"/>
          <w:sz w:val="22"/>
          <w:szCs w:val="22"/>
        </w:rPr>
        <w:t>Relevance to Business Task</w:t>
      </w:r>
    </w:p>
    <w:p w14:paraId="64A838DC">
      <w:pPr>
        <w:pStyle w:val="14"/>
        <w:numPr>
          <w:ilvl w:val="0"/>
          <w:numId w:val="1"/>
        </w:numPr>
        <w:spacing w:before="40" w:after="40"/>
        <w:jc w:val="both"/>
      </w:pPr>
      <w:r>
        <w:rPr>
          <w:rFonts w:ascii="Arial" w:hAnsi="Arial" w:eastAsia="Arial" w:cs="Arial"/>
          <w:sz w:val="20"/>
          <w:szCs w:val="20"/>
        </w:rPr>
        <w:t>Table 9/6: Directly addresses the 'underserved by formal banking' question. Shows the split between banks, money transfer services, door-to-door, and other modes for each survey year. In 2024, banks accounted for 61.1% (PhP 131.04B) and money transfer services for 37.5% (PhP 80.39B) of cash remittances.</w:t>
      </w:r>
    </w:p>
    <w:p w14:paraId="024EF24C">
      <w:pPr>
        <w:spacing w:before="180" w:after="80"/>
      </w:pPr>
      <w:r>
        <w:rPr>
          <w:rFonts w:ascii="Arial" w:hAnsi="Arial" w:eastAsia="Arial" w:cs="Arial"/>
          <w:b/>
          <w:bCs/>
          <w:color w:val="2F5496"/>
          <w:sz w:val="22"/>
          <w:szCs w:val="22"/>
        </w:rPr>
        <w:t>ROCCC Assessment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1"/>
        <w:gridCol w:w="1191"/>
        <w:gridCol w:w="6538"/>
      </w:tblGrid>
      <w:tr w14:paraId="41F6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31"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779ACCF1">
            <w:r>
              <w:rPr>
                <w:rFonts w:ascii="Arial" w:hAnsi="Arial" w:eastAsia="Arial" w:cs="Arial"/>
                <w:b/>
                <w:bCs/>
                <w:color w:val="FFFFFF"/>
                <w:sz w:val="18"/>
                <w:szCs w:val="18"/>
              </w:rPr>
              <w:t>Criterion</w:t>
            </w:r>
          </w:p>
        </w:tc>
        <w:tc>
          <w:tcPr>
            <w:tcW w:w="1191"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27C615F7">
            <w:r>
              <w:rPr>
                <w:rFonts w:ascii="Arial" w:hAnsi="Arial" w:eastAsia="Arial" w:cs="Arial"/>
                <w:b/>
                <w:bCs/>
                <w:color w:val="FFFFFF"/>
                <w:sz w:val="18"/>
                <w:szCs w:val="18"/>
              </w:rPr>
              <w:t>Rating</w:t>
            </w:r>
          </w:p>
        </w:tc>
        <w:tc>
          <w:tcPr>
            <w:tcW w:w="6538"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79A3C719">
            <w:r>
              <w:rPr>
                <w:rFonts w:ascii="Arial" w:hAnsi="Arial" w:eastAsia="Arial" w:cs="Arial"/>
                <w:b/>
                <w:bCs/>
                <w:color w:val="FFFFFF"/>
                <w:sz w:val="18"/>
                <w:szCs w:val="18"/>
              </w:rPr>
              <w:t>Justification</w:t>
            </w:r>
          </w:p>
        </w:tc>
      </w:tr>
      <w:tr w14:paraId="5FD8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3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EFA0A70">
            <w:r>
              <w:rPr>
                <w:rFonts w:ascii="Arial" w:hAnsi="Arial" w:eastAsia="Arial" w:cs="Arial"/>
                <w:b/>
                <w:bCs/>
                <w:sz w:val="18"/>
                <w:szCs w:val="18"/>
              </w:rPr>
              <w:t>Reliable</w:t>
            </w:r>
          </w:p>
        </w:tc>
        <w:tc>
          <w:tcPr>
            <w:tcW w:w="1191"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0C4988FD">
            <w:pPr>
              <w:jc w:val="center"/>
            </w:pPr>
            <w:r>
              <w:rPr>
                <w:rFonts w:ascii="Arial" w:hAnsi="Arial" w:eastAsia="Arial" w:cs="Arial"/>
                <w:b/>
                <w:bCs/>
                <w:sz w:val="18"/>
                <w:szCs w:val="18"/>
              </w:rPr>
              <w:t xml:space="preserve"> Yes</w:t>
            </w:r>
          </w:p>
        </w:tc>
        <w:tc>
          <w:tcPr>
            <w:tcW w:w="653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B0EC2FF">
            <w:r>
              <w:rPr>
                <w:rFonts w:ascii="Arial" w:hAnsi="Arial" w:eastAsia="Arial" w:cs="Arial"/>
                <w:b w:val="0"/>
                <w:bCs w:val="0"/>
                <w:sz w:val="18"/>
                <w:szCs w:val="18"/>
              </w:rPr>
              <w:t>PSA is the Philippines' official national statistics office. SOF is a nationally representative household survey conducted annually using established sampling methodology.</w:t>
            </w:r>
          </w:p>
        </w:tc>
      </w:tr>
      <w:tr w14:paraId="4B6D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3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B4D241">
            <w:r>
              <w:rPr>
                <w:rFonts w:ascii="Arial" w:hAnsi="Arial" w:eastAsia="Arial" w:cs="Arial"/>
                <w:b/>
                <w:bCs/>
                <w:sz w:val="18"/>
                <w:szCs w:val="18"/>
              </w:rPr>
              <w:t>Original</w:t>
            </w:r>
          </w:p>
        </w:tc>
        <w:tc>
          <w:tcPr>
            <w:tcW w:w="1191"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286FAE20">
            <w:pPr>
              <w:jc w:val="center"/>
            </w:pPr>
            <w:r>
              <w:rPr>
                <w:rFonts w:ascii="Arial" w:hAnsi="Arial" w:eastAsia="Arial" w:cs="Arial"/>
                <w:b/>
                <w:bCs/>
                <w:sz w:val="18"/>
                <w:szCs w:val="18"/>
              </w:rPr>
              <w:t xml:space="preserve"> Yes</w:t>
            </w:r>
          </w:p>
        </w:tc>
        <w:tc>
          <w:tcPr>
            <w:tcW w:w="6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AFEAF3">
            <w:r>
              <w:rPr>
                <w:rFonts w:ascii="Arial" w:hAnsi="Arial" w:eastAsia="Arial" w:cs="Arial"/>
                <w:b w:val="0"/>
                <w:bCs w:val="0"/>
                <w:sz w:val="18"/>
                <w:szCs w:val="18"/>
              </w:rPr>
              <w:t>Primary source — PSA directly administers and publishes SOF results from household interviews. Not aggregated from third-party sources.</w:t>
            </w:r>
          </w:p>
        </w:tc>
      </w:tr>
      <w:tr w14:paraId="7571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3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77F9E4">
            <w:pPr>
              <w:rPr>
                <w:rFonts w:ascii="Arial" w:hAnsi="Arial" w:eastAsia="Arial" w:cs="Arial"/>
                <w:b/>
                <w:bCs/>
                <w:sz w:val="18"/>
                <w:szCs w:val="18"/>
              </w:rPr>
            </w:pPr>
            <w:r>
              <w:rPr>
                <w:rFonts w:ascii="Arial" w:hAnsi="Arial" w:eastAsia="Arial" w:cs="Arial"/>
                <w:b/>
                <w:bCs/>
                <w:sz w:val="18"/>
                <w:szCs w:val="18"/>
              </w:rPr>
              <w:t>Comprehensive</w:t>
            </w:r>
          </w:p>
        </w:tc>
        <w:tc>
          <w:tcPr>
            <w:tcW w:w="1191"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5D9B54EC">
            <w:pPr>
              <w:jc w:val="center"/>
              <w:rPr>
                <w:rFonts w:hint="default" w:ascii="Arial" w:hAnsi="Arial" w:eastAsia="Arial" w:cs="Arial"/>
                <w:b/>
                <w:bCs/>
                <w:sz w:val="18"/>
                <w:szCs w:val="18"/>
                <w:lang w:val="en-US"/>
              </w:rPr>
            </w:pPr>
            <w:r>
              <w:rPr>
                <w:rFonts w:hint="default" w:cs="Arial"/>
                <w:b/>
                <w:bCs/>
                <w:sz w:val="18"/>
                <w:szCs w:val="18"/>
                <w:lang w:val="en-US"/>
              </w:rPr>
              <w:t>Partial</w:t>
            </w:r>
          </w:p>
        </w:tc>
        <w:tc>
          <w:tcPr>
            <w:tcW w:w="6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F751AE">
            <w:pPr>
              <w:rPr>
                <w:rFonts w:ascii="Arial" w:hAnsi="Arial" w:eastAsia="Arial" w:cs="Arial"/>
                <w:b w:val="0"/>
                <w:bCs w:val="0"/>
                <w:sz w:val="18"/>
                <w:szCs w:val="18"/>
              </w:rPr>
            </w:pPr>
            <w:r>
              <w:rPr>
                <w:rFonts w:ascii="Arial" w:hAnsi="Arial" w:eastAsia="Arial" w:cs="Arial"/>
                <w:b w:val="0"/>
                <w:bCs w:val="0"/>
                <w:sz w:val="18"/>
                <w:szCs w:val="18"/>
              </w:rPr>
              <w:t>Covers OFWs active in the April–September window only (6 months). Full-year OFW behavior is not captured. Structural table changes in 2019–2020 also require manual mapping during processing.</w:t>
            </w:r>
          </w:p>
        </w:tc>
      </w:tr>
      <w:tr w14:paraId="6059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3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A5CC73">
            <w:r>
              <w:rPr>
                <w:rFonts w:ascii="Arial" w:hAnsi="Arial" w:eastAsia="Arial" w:cs="Arial"/>
                <w:b/>
                <w:bCs/>
                <w:sz w:val="18"/>
                <w:szCs w:val="18"/>
              </w:rPr>
              <w:t>Current</w:t>
            </w:r>
          </w:p>
        </w:tc>
        <w:tc>
          <w:tcPr>
            <w:tcW w:w="1191"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0CEF9EA1">
            <w:pPr>
              <w:jc w:val="center"/>
            </w:pPr>
            <w:r>
              <w:rPr>
                <w:rFonts w:ascii="Arial" w:hAnsi="Arial" w:eastAsia="Arial" w:cs="Arial"/>
                <w:b/>
                <w:bCs/>
                <w:sz w:val="18"/>
                <w:szCs w:val="18"/>
              </w:rPr>
              <w:t xml:space="preserve"> Yes</w:t>
            </w:r>
          </w:p>
        </w:tc>
        <w:tc>
          <w:tcPr>
            <w:tcW w:w="6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CA330A">
            <w:r>
              <w:rPr>
                <w:rFonts w:ascii="Arial" w:hAnsi="Arial" w:eastAsia="Arial" w:cs="Arial"/>
                <w:b w:val="0"/>
                <w:bCs w:val="0"/>
                <w:sz w:val="18"/>
                <w:szCs w:val="18"/>
              </w:rPr>
              <w:t>2024 results (the most rece</w:t>
            </w:r>
            <w:bookmarkStart w:id="0" w:name="_GoBack"/>
            <w:bookmarkEnd w:id="0"/>
            <w:r>
              <w:rPr>
                <w:rFonts w:ascii="Arial" w:hAnsi="Arial" w:eastAsia="Arial" w:cs="Arial"/>
                <w:b w:val="0"/>
                <w:bCs w:val="0"/>
                <w:sz w:val="18"/>
                <w:szCs w:val="18"/>
              </w:rPr>
              <w:t>nt survey) are available. Six-year series (2019–2024) provides adequate trend coverage for the analysis scope.</w:t>
            </w:r>
          </w:p>
        </w:tc>
      </w:tr>
      <w:tr w14:paraId="026D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3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BECCB85">
            <w:r>
              <w:rPr>
                <w:rFonts w:ascii="Arial" w:hAnsi="Arial" w:eastAsia="Arial" w:cs="Arial"/>
                <w:b/>
                <w:bCs/>
                <w:sz w:val="18"/>
                <w:szCs w:val="18"/>
              </w:rPr>
              <w:t>Cited</w:t>
            </w:r>
          </w:p>
        </w:tc>
        <w:tc>
          <w:tcPr>
            <w:tcW w:w="1191"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vAlign w:val="center"/>
          </w:tcPr>
          <w:p w14:paraId="66ACD650">
            <w:pPr>
              <w:jc w:val="center"/>
            </w:pPr>
            <w:r>
              <w:rPr>
                <w:rFonts w:ascii="Arial" w:hAnsi="Arial" w:eastAsia="Arial" w:cs="Arial"/>
                <w:b/>
                <w:bCs/>
                <w:sz w:val="18"/>
                <w:szCs w:val="18"/>
              </w:rPr>
              <w:t xml:space="preserve"> Yes</w:t>
            </w:r>
          </w:p>
        </w:tc>
        <w:tc>
          <w:tcPr>
            <w:tcW w:w="653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352D3B1">
            <w:r>
              <w:rPr>
                <w:rFonts w:ascii="Arial" w:hAnsi="Arial" w:eastAsia="Arial" w:cs="Arial"/>
                <w:b w:val="0"/>
                <w:bCs w:val="0"/>
                <w:sz w:val="18"/>
                <w:szCs w:val="18"/>
              </w:rPr>
              <w:t>PSA SOF is the official source for OFW statistics cited by BSP, World Bank, ILO, and Philippine government agencies. Referenced directly in the BSP Discussion Paper used in this project.</w:t>
            </w:r>
          </w:p>
        </w:tc>
      </w:tr>
    </w:tbl>
    <w:p w14:paraId="345B2FFC">
      <w:pPr>
        <w:pStyle w:val="2"/>
        <w:spacing w:before="360" w:after="120"/>
      </w:pPr>
      <w:r>
        <w:rPr>
          <w:rFonts w:ascii="Arial" w:hAnsi="Arial" w:eastAsia="Arial" w:cs="Arial"/>
          <w:b/>
          <w:bCs/>
          <w:color w:val="1F4E79"/>
          <w:sz w:val="28"/>
          <w:szCs w:val="28"/>
        </w:rPr>
        <w:t>4. Licensing, Privacy, Security, and Accessibility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6095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4A76CC07">
            <w:r>
              <w:rPr>
                <w:rFonts w:ascii="Arial" w:hAnsi="Arial" w:eastAsia="Arial" w:cs="Arial"/>
                <w:b/>
                <w:bCs/>
                <w:color w:val="FFFFFF"/>
                <w:sz w:val="18"/>
                <w:szCs w:val="18"/>
              </w:rPr>
              <w:t>Consideration</w:t>
            </w:r>
          </w:p>
        </w:tc>
        <w:tc>
          <w:tcPr>
            <w:tcW w:w="35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02C5E150">
            <w:r>
              <w:rPr>
                <w:rFonts w:ascii="Arial" w:hAnsi="Arial" w:eastAsia="Arial" w:cs="Arial"/>
                <w:b/>
                <w:bCs/>
                <w:color w:val="FFFFFF"/>
                <w:sz w:val="18"/>
                <w:szCs w:val="18"/>
              </w:rPr>
              <w:t>BSP Data</w:t>
            </w:r>
          </w:p>
        </w:tc>
        <w:tc>
          <w:tcPr>
            <w:tcW w:w="35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3770DE9A">
            <w:r>
              <w:rPr>
                <w:rFonts w:ascii="Arial" w:hAnsi="Arial" w:eastAsia="Arial" w:cs="Arial"/>
                <w:b/>
                <w:bCs/>
                <w:color w:val="FFFFFF"/>
                <w:sz w:val="18"/>
                <w:szCs w:val="18"/>
              </w:rPr>
              <w:t>PSA Data</w:t>
            </w:r>
          </w:p>
        </w:tc>
      </w:tr>
      <w:tr w14:paraId="2EAE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017C59B4">
            <w:r>
              <w:rPr>
                <w:rFonts w:ascii="Arial" w:hAnsi="Arial" w:eastAsia="Arial" w:cs="Arial"/>
                <w:b/>
                <w:bCs/>
                <w:sz w:val="18"/>
                <w:szCs w:val="18"/>
              </w:rPr>
              <w:t>Licensing</w:t>
            </w:r>
          </w:p>
        </w:tc>
        <w:tc>
          <w:tcPr>
            <w:tcW w:w="35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06D6130">
            <w:r>
              <w:rPr>
                <w:rFonts w:ascii="Arial" w:hAnsi="Arial" w:eastAsia="Arial" w:cs="Arial"/>
                <w:b w:val="0"/>
                <w:bCs w:val="0"/>
                <w:sz w:val="18"/>
                <w:szCs w:val="18"/>
              </w:rPr>
              <w:t>Publicly available on BSP website. No explicit CC license; standard Philippine government open data policy applies. Data is freely accessible for research and analysis.</w:t>
            </w:r>
          </w:p>
        </w:tc>
        <w:tc>
          <w:tcPr>
            <w:tcW w:w="35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150F41F">
            <w:r>
              <w:rPr>
                <w:rFonts w:ascii="Arial" w:hAnsi="Arial" w:eastAsia="Arial" w:cs="Arial"/>
                <w:b w:val="0"/>
                <w:bCs w:val="0"/>
                <w:sz w:val="18"/>
                <w:szCs w:val="18"/>
              </w:rPr>
              <w:t>Publicly available on PSA website under Philippine government open data policy. PSA data is routinely used for academic and business research.</w:t>
            </w:r>
          </w:p>
        </w:tc>
      </w:tr>
      <w:tr w14:paraId="1735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21E89A">
            <w:r>
              <w:rPr>
                <w:rFonts w:ascii="Arial" w:hAnsi="Arial" w:eastAsia="Arial" w:cs="Arial"/>
                <w:b/>
                <w:bCs/>
                <w:sz w:val="18"/>
                <w:szCs w:val="18"/>
              </w:rPr>
              <w:t>Privacy</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8E326B">
            <w:r>
              <w:rPr>
                <w:rFonts w:ascii="Arial" w:hAnsi="Arial" w:eastAsia="Arial" w:cs="Arial"/>
                <w:b w:val="0"/>
                <w:bCs w:val="0"/>
                <w:sz w:val="18"/>
                <w:szCs w:val="18"/>
              </w:rPr>
              <w:t>Aggregate, macro-level data only. No individual OFW or household data is present. No PII concerns.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45A249">
            <w:r>
              <w:rPr>
                <w:rFonts w:ascii="Arial" w:hAnsi="Arial" w:eastAsia="Arial" w:cs="Arial"/>
                <w:b w:val="0"/>
                <w:bCs w:val="0"/>
                <w:sz w:val="18"/>
                <w:szCs w:val="18"/>
              </w:rPr>
              <w:t>Survey data is published only in aggregate form. Individual household responses are not disclosed. Fully anonymized prior to publication.</w:t>
            </w:r>
          </w:p>
        </w:tc>
      </w:tr>
      <w:tr w14:paraId="3668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D6832E3">
            <w:r>
              <w:rPr>
                <w:rFonts w:ascii="Arial" w:hAnsi="Arial" w:eastAsia="Arial" w:cs="Arial"/>
                <w:b/>
                <w:bCs/>
                <w:sz w:val="18"/>
                <w:szCs w:val="18"/>
              </w:rPr>
              <w:t>Security</w:t>
            </w:r>
          </w:p>
        </w:tc>
        <w:tc>
          <w:tcPr>
            <w:tcW w:w="35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3255CA33">
            <w:r>
              <w:rPr>
                <w:rFonts w:ascii="Arial" w:hAnsi="Arial" w:eastAsia="Arial" w:cs="Arial"/>
                <w:b w:val="0"/>
                <w:bCs w:val="0"/>
                <w:sz w:val="18"/>
                <w:szCs w:val="18"/>
              </w:rPr>
              <w:t>Downloaded directly from official BSP domain (bsp.gov.ph). Files stored locally and in project folder with standard access controls.</w:t>
            </w:r>
          </w:p>
        </w:tc>
        <w:tc>
          <w:tcPr>
            <w:tcW w:w="35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FFCA1B2">
            <w:r>
              <w:rPr>
                <w:rFonts w:ascii="Arial" w:hAnsi="Arial" w:eastAsia="Arial" w:cs="Arial"/>
                <w:b w:val="0"/>
                <w:bCs w:val="0"/>
                <w:sz w:val="18"/>
                <w:szCs w:val="18"/>
              </w:rPr>
              <w:t>Downloaded directly from official PSA domain (psa.gov.ph). Same local storage protocol applied.</w:t>
            </w:r>
          </w:p>
        </w:tc>
      </w:tr>
      <w:tr w14:paraId="2B70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480CB0">
            <w:r>
              <w:rPr>
                <w:rFonts w:ascii="Arial" w:hAnsi="Arial" w:eastAsia="Arial" w:cs="Arial"/>
                <w:b/>
                <w:bCs/>
                <w:sz w:val="18"/>
                <w:szCs w:val="18"/>
              </w:rPr>
              <w:t>Accessibility</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A7084A">
            <w:r>
              <w:rPr>
                <w:rFonts w:ascii="Arial" w:hAnsi="Arial" w:eastAsia="Arial" w:cs="Arial"/>
                <w:b w:val="0"/>
                <w:bCs w:val="0"/>
                <w:sz w:val="18"/>
                <w:szCs w:val="18"/>
              </w:rPr>
              <w:t>BSP website publicly accessible. No login required. Data files available in Excel and PDF formats.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CF3FB8">
            <w:r>
              <w:rPr>
                <w:rFonts w:ascii="Arial" w:hAnsi="Arial" w:eastAsia="Arial" w:cs="Arial"/>
                <w:b w:val="0"/>
                <w:bCs w:val="0"/>
                <w:sz w:val="18"/>
                <w:szCs w:val="18"/>
              </w:rPr>
              <w:t>PSA website publicly accessible. No login required. Data files available in Excel and PDF formats.</w:t>
            </w:r>
          </w:p>
        </w:tc>
      </w:tr>
    </w:tbl>
    <w:p w14:paraId="5D850A5F">
      <w:pPr>
        <w:spacing w:before="120" w:after="0"/>
      </w:pPr>
    </w:p>
    <w:p w14:paraId="367010AE">
      <w:pPr>
        <w:pStyle w:val="2"/>
        <w:spacing w:before="360" w:after="120"/>
      </w:pPr>
      <w:r>
        <w:rPr>
          <w:rFonts w:ascii="Arial" w:hAnsi="Arial" w:eastAsia="Arial" w:cs="Arial"/>
          <w:b/>
          <w:bCs/>
          <w:color w:val="1F4E79"/>
          <w:sz w:val="28"/>
          <w:szCs w:val="28"/>
        </w:rPr>
        <w:t>5. Data Integrity Verification</w:t>
      </w:r>
    </w:p>
    <w:p w14:paraId="4E19C941">
      <w:pPr>
        <w:spacing w:before="60" w:after="60"/>
      </w:pPr>
      <w:r>
        <w:rPr>
          <w:rFonts w:ascii="Arial" w:hAnsi="Arial" w:eastAsia="Arial" w:cs="Arial"/>
          <w:sz w:val="20"/>
          <w:szCs w:val="20"/>
        </w:rPr>
        <w:t>The following steps were taken to verify data integrity prior to the Process phase:</w:t>
      </w:r>
    </w:p>
    <w:p w14:paraId="700EDB6F">
      <w:pPr>
        <w:spacing w:before="60" w:after="0"/>
      </w:pPr>
    </w:p>
    <w:p w14:paraId="196D065A">
      <w:pPr>
        <w:pStyle w:val="14"/>
        <w:numPr>
          <w:ilvl w:val="0"/>
          <w:numId w:val="1"/>
        </w:numPr>
        <w:spacing w:before="40" w:after="40"/>
        <w:jc w:val="both"/>
      </w:pPr>
      <w:r>
        <w:rPr>
          <w:rFonts w:ascii="Arial" w:hAnsi="Arial" w:eastAsia="Arial" w:cs="Arial"/>
          <w:sz w:val="20"/>
          <w:szCs w:val="20"/>
        </w:rPr>
        <w:t>BSP Excel cross-check: Annual totals for 2021 (USD 31.4B) and 2022 (USD 32.5B) were verified against BSP press releases and are consistent with published figures.</w:t>
      </w:r>
    </w:p>
    <w:p w14:paraId="471D818C">
      <w:pPr>
        <w:pStyle w:val="14"/>
        <w:numPr>
          <w:ilvl w:val="0"/>
          <w:numId w:val="1"/>
        </w:numPr>
        <w:spacing w:before="40" w:after="40"/>
        <w:jc w:val="both"/>
      </w:pPr>
      <w:r>
        <w:rPr>
          <w:rFonts w:ascii="Arial" w:hAnsi="Arial" w:eastAsia="Arial" w:cs="Arial"/>
          <w:sz w:val="20"/>
          <w:szCs w:val="20"/>
        </w:rPr>
        <w:t>PSA internal consistency: The 2024 total cash remittance figure of PhP 214.31 billion (Table 8) was verified to be consistent with the PhP 262.20 billion total remittance figure (Table 7, which includes cash brought home and in-kind).</w:t>
      </w:r>
    </w:p>
    <w:p w14:paraId="3F6452D7">
      <w:pPr>
        <w:pStyle w:val="14"/>
        <w:numPr>
          <w:ilvl w:val="0"/>
          <w:numId w:val="1"/>
        </w:numPr>
        <w:spacing w:before="40" w:after="40"/>
        <w:jc w:val="both"/>
      </w:pPr>
      <w:r>
        <w:rPr>
          <w:rFonts w:ascii="Arial" w:hAnsi="Arial" w:eastAsia="Arial" w:cs="Arial"/>
          <w:sz w:val="20"/>
          <w:szCs w:val="20"/>
        </w:rPr>
        <w:t>BSP vs. PSA alignment: Both sources confirm banks as the dominant mode of formal transfer, consistent with each other despite different measurement methodologies (BSP tracks banking system flows; PSA surveys household behavior).</w:t>
      </w:r>
    </w:p>
    <w:p w14:paraId="4397D534">
      <w:pPr>
        <w:pStyle w:val="14"/>
        <w:numPr>
          <w:ilvl w:val="0"/>
          <w:numId w:val="1"/>
        </w:numPr>
        <w:spacing w:before="40" w:after="40"/>
        <w:jc w:val="both"/>
      </w:pPr>
      <w:r>
        <w:rPr>
          <w:rFonts w:ascii="Arial" w:hAnsi="Arial" w:eastAsia="Arial" w:cs="Arial"/>
          <w:sz w:val="20"/>
          <w:szCs w:val="20"/>
        </w:rPr>
        <w:t>Table structure audit: 2019 and 2020 PSA files were opened and visually inspected to confirm that Table 6 measure the same variable as Table 9 in later years. Column headers and units confirmed to be equivalent.</w:t>
      </w:r>
    </w:p>
    <w:p w14:paraId="4F76C8CB">
      <w:pPr>
        <w:pStyle w:val="14"/>
        <w:numPr>
          <w:ilvl w:val="0"/>
          <w:numId w:val="1"/>
        </w:numPr>
        <w:spacing w:before="40" w:after="40"/>
        <w:jc w:val="both"/>
      </w:pPr>
      <w:r>
        <w:rPr>
          <w:rFonts w:ascii="Arial" w:hAnsi="Arial" w:eastAsia="Arial" w:cs="Arial"/>
          <w:sz w:val="20"/>
          <w:szCs w:val="20"/>
        </w:rPr>
        <w:t>No duplicate files identified in the dataset inventory. Each annual PSA file covers a distinct survey period.</w:t>
      </w:r>
    </w:p>
    <w:p w14:paraId="5F9702D5">
      <w:pPr>
        <w:pStyle w:val="2"/>
        <w:spacing w:before="360" w:after="120"/>
      </w:pPr>
      <w:r>
        <w:rPr>
          <w:rFonts w:ascii="Arial" w:hAnsi="Arial" w:eastAsia="Arial" w:cs="Arial"/>
          <w:b/>
          <w:bCs/>
          <w:color w:val="1F4E79"/>
          <w:sz w:val="28"/>
          <w:szCs w:val="28"/>
        </w:rPr>
        <w:t>6. Known Data Limitations</w:t>
      </w:r>
    </w:p>
    <w:p w14:paraId="4604E0DA">
      <w:pPr>
        <w:spacing w:before="60" w:after="60"/>
      </w:pPr>
      <w:r>
        <w:rPr>
          <w:rFonts w:ascii="Arial" w:hAnsi="Arial" w:eastAsia="Arial" w:cs="Arial"/>
          <w:sz w:val="20"/>
          <w:szCs w:val="20"/>
        </w:rPr>
        <w:t>The following limitations have been identified and will be documented throughout the analysis. They do not invalidate the dataset selection but should be acknowledged in the final report.</w:t>
      </w:r>
    </w:p>
    <w:p w14:paraId="3B2BE3C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560"/>
      </w:tblGrid>
      <w:tr w14:paraId="6BB1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5A30C604">
            <w:r>
              <w:rPr>
                <w:rFonts w:ascii="Arial" w:hAnsi="Arial" w:eastAsia="Arial" w:cs="Arial"/>
                <w:b/>
                <w:bCs/>
                <w:color w:val="FFFFFF"/>
                <w:sz w:val="18"/>
                <w:szCs w:val="18"/>
              </w:rPr>
              <w:t>Limitation</w:t>
            </w:r>
          </w:p>
        </w:tc>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51C0291D">
            <w:r>
              <w:rPr>
                <w:rFonts w:ascii="Arial" w:hAnsi="Arial" w:eastAsia="Arial" w:cs="Arial"/>
                <w:b/>
                <w:bCs/>
                <w:color w:val="FFFFFF"/>
                <w:sz w:val="18"/>
                <w:szCs w:val="18"/>
              </w:rPr>
              <w:t>Affects</w:t>
            </w:r>
          </w:p>
        </w:tc>
        <w:tc>
          <w:tcPr>
            <w:tcW w:w="356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44C527EE">
            <w:r>
              <w:rPr>
                <w:rFonts w:ascii="Arial" w:hAnsi="Arial" w:eastAsia="Arial" w:cs="Arial"/>
                <w:b/>
                <w:bCs/>
                <w:color w:val="FFFFFF"/>
                <w:sz w:val="18"/>
                <w:szCs w:val="18"/>
              </w:rPr>
              <w:t>How Addressed</w:t>
            </w:r>
          </w:p>
        </w:tc>
      </w:tr>
      <w:tr w14:paraId="4FF1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8243545">
            <w:r>
              <w:rPr>
                <w:rFonts w:ascii="Arial" w:hAnsi="Arial" w:eastAsia="Arial" w:cs="Arial"/>
                <w:b w:val="0"/>
                <w:bCs w:val="0"/>
                <w:sz w:val="18"/>
                <w:szCs w:val="18"/>
              </w:rPr>
              <w:t>US remittance corridor overstatement</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6763959">
            <w:r>
              <w:rPr>
                <w:rFonts w:ascii="Arial" w:hAnsi="Arial" w:eastAsia="Arial" w:cs="Arial"/>
                <w:b w:val="0"/>
                <w:bCs w:val="0"/>
                <w:sz w:val="18"/>
                <w:szCs w:val="18"/>
              </w:rPr>
              <w:t>BSP OF Cash Remittances (Excel)</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4628140B">
            <w:pPr>
              <w:jc w:val="both"/>
              <w:rPr>
                <w:rFonts w:ascii="Arial" w:hAnsi="Arial" w:eastAsia="Arial" w:cs="Arial"/>
                <w:b w:val="0"/>
                <w:bCs w:val="0"/>
                <w:sz w:val="18"/>
                <w:szCs w:val="18"/>
              </w:rPr>
            </w:pPr>
            <w:r>
              <w:rPr>
                <w:rFonts w:ascii="Arial" w:hAnsi="Arial" w:eastAsia="Arial" w:cs="Arial"/>
                <w:b w:val="0"/>
                <w:bCs w:val="0"/>
                <w:sz w:val="18"/>
                <w:szCs w:val="18"/>
              </w:rPr>
              <w:t>Many global remittance centers route transfers through US correspondent banks, inflating the US corridor figure. Noted in BSP Discussion Paper on COVID-19 remittances (p.12), reviewed as background literature. Addressed by treating the US figure as directionally useful but not precisely comparable to other corridors.</w:t>
            </w:r>
          </w:p>
        </w:tc>
      </w:tr>
      <w:tr w14:paraId="46D3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6DECC1">
            <w:r>
              <w:rPr>
                <w:rFonts w:ascii="Arial" w:hAnsi="Arial" w:eastAsia="Arial" w:cs="Arial"/>
                <w:b w:val="0"/>
                <w:bCs w:val="0"/>
                <w:sz w:val="18"/>
                <w:szCs w:val="18"/>
              </w:rPr>
              <w:t>No corridor-level mode-of-transfer data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547D78">
            <w:r>
              <w:rPr>
                <w:rFonts w:ascii="Arial" w:hAnsi="Arial" w:eastAsia="Arial" w:cs="Arial"/>
                <w:b w:val="0"/>
                <w:bCs w:val="0"/>
                <w:sz w:val="18"/>
                <w:szCs w:val="18"/>
              </w:rPr>
              <w:t>All sources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C958A6">
            <w:pPr>
              <w:jc w:val="both"/>
            </w:pPr>
            <w:r>
              <w:rPr>
                <w:rFonts w:ascii="Arial" w:hAnsi="Arial" w:eastAsia="Arial" w:cs="Arial"/>
                <w:b w:val="0"/>
                <w:bCs w:val="0"/>
                <w:sz w:val="18"/>
                <w:szCs w:val="18"/>
              </w:rPr>
              <w:t>Neither BSP nor PSA publish mode-of-transfer data broken down by source country. Mode analysis is therefore presented at the national level only. Documented as a gap; national data still supports the underservice narrative.</w:t>
            </w:r>
          </w:p>
        </w:tc>
      </w:tr>
      <w:tr w14:paraId="78C7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120D089">
            <w:r>
              <w:rPr>
                <w:rFonts w:ascii="Arial" w:hAnsi="Arial" w:eastAsia="Arial" w:cs="Arial"/>
                <w:b w:val="0"/>
                <w:bCs w:val="0"/>
                <w:sz w:val="18"/>
                <w:szCs w:val="18"/>
              </w:rPr>
              <w:t>PSA table restructuring in 2019–2020</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EC130AF">
            <w:r>
              <w:rPr>
                <w:rFonts w:ascii="Arial" w:hAnsi="Arial" w:eastAsia="Arial" w:cs="Arial"/>
                <w:b w:val="0"/>
                <w:bCs w:val="0"/>
                <w:sz w:val="18"/>
                <w:szCs w:val="18"/>
              </w:rPr>
              <w:t>PSA SOF 2019, 2020</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574C0E09">
            <w:r>
              <w:rPr>
                <w:rFonts w:ascii="Arial" w:hAnsi="Arial" w:eastAsia="Arial" w:cs="Arial"/>
                <w:b w:val="0"/>
                <w:bCs w:val="0"/>
                <w:sz w:val="18"/>
                <w:szCs w:val="18"/>
              </w:rPr>
              <w:t>Remittance-by-location and mode-of-transfer data shifted from Table</w:t>
            </w:r>
            <w:r>
              <w:rPr>
                <w:rFonts w:hint="default" w:cs="Arial"/>
                <w:b w:val="0"/>
                <w:bCs w:val="0"/>
                <w:sz w:val="18"/>
                <w:szCs w:val="18"/>
                <w:lang w:val="en-US"/>
              </w:rPr>
              <w:t xml:space="preserve"> </w:t>
            </w:r>
            <w:r>
              <w:rPr>
                <w:rFonts w:ascii="Arial" w:hAnsi="Arial" w:eastAsia="Arial" w:cs="Arial"/>
                <w:b w:val="0"/>
                <w:bCs w:val="0"/>
                <w:sz w:val="18"/>
                <w:szCs w:val="18"/>
              </w:rPr>
              <w:t>9 to Table</w:t>
            </w:r>
            <w:r>
              <w:rPr>
                <w:rFonts w:hint="default" w:cs="Arial"/>
                <w:b w:val="0"/>
                <w:bCs w:val="0"/>
                <w:sz w:val="18"/>
                <w:szCs w:val="18"/>
                <w:lang w:val="en-US"/>
              </w:rPr>
              <w:t xml:space="preserve"> </w:t>
            </w:r>
            <w:r>
              <w:rPr>
                <w:rFonts w:ascii="Arial" w:hAnsi="Arial" w:eastAsia="Arial" w:cs="Arial"/>
                <w:b w:val="0"/>
                <w:bCs w:val="0"/>
                <w:sz w:val="18"/>
                <w:szCs w:val="18"/>
              </w:rPr>
              <w:t>6 due to pandemic-related survey adjustments. Data is still usable but requires manual mapping during processing.</w:t>
            </w:r>
          </w:p>
        </w:tc>
      </w:tr>
      <w:tr w14:paraId="7BFC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67889B">
            <w:r>
              <w:rPr>
                <w:rFonts w:ascii="Arial" w:hAnsi="Arial" w:eastAsia="Arial" w:cs="Arial"/>
                <w:b w:val="0"/>
                <w:bCs w:val="0"/>
                <w:sz w:val="18"/>
                <w:szCs w:val="18"/>
              </w:rPr>
              <w:t>PSA 6-month survey window</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3C3077">
            <w:r>
              <w:rPr>
                <w:rFonts w:ascii="Arial" w:hAnsi="Arial" w:eastAsia="Arial" w:cs="Arial"/>
                <w:b w:val="0"/>
                <w:bCs w:val="0"/>
                <w:sz w:val="18"/>
                <w:szCs w:val="18"/>
              </w:rPr>
              <w:t>All PSA SOF files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906859">
            <w:r>
              <w:rPr>
                <w:rFonts w:ascii="Arial" w:hAnsi="Arial" w:eastAsia="Arial" w:cs="Arial"/>
                <w:b w:val="0"/>
                <w:bCs w:val="0"/>
                <w:sz w:val="18"/>
                <w:szCs w:val="18"/>
              </w:rPr>
              <w:t>PSA estimates cover OFWs active April–September of each survey year. This introduces seasonal bias and does not represent full-year remittance behavior. Addressed by using PSA data for structural/behavioral insights and BSP data for full-year volume figures.</w:t>
            </w:r>
          </w:p>
        </w:tc>
      </w:tr>
      <w:tr w14:paraId="0E81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D49B42D">
            <w:r>
              <w:rPr>
                <w:rFonts w:ascii="Arial" w:hAnsi="Arial" w:eastAsia="Arial" w:cs="Arial"/>
                <w:b w:val="0"/>
                <w:bCs w:val="0"/>
                <w:sz w:val="18"/>
                <w:szCs w:val="18"/>
              </w:rPr>
              <w:t>2018 PSA data unavailable</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EFB477D">
            <w:r>
              <w:rPr>
                <w:rFonts w:ascii="Arial" w:hAnsi="Arial" w:eastAsia="Arial" w:cs="Arial"/>
                <w:b w:val="0"/>
                <w:bCs w:val="0"/>
                <w:sz w:val="18"/>
                <w:szCs w:val="18"/>
              </w:rPr>
              <w:t>PSA SOF 2018</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70BD021A">
            <w:r>
              <w:rPr>
                <w:rFonts w:ascii="Arial" w:hAnsi="Arial" w:eastAsia="Arial" w:cs="Arial"/>
                <w:b w:val="0"/>
                <w:bCs w:val="0"/>
                <w:sz w:val="18"/>
                <w:szCs w:val="18"/>
              </w:rPr>
              <w:t>The 2018 SOF article was published without data table attachments. Formally excluded from the dataset; time series begins at 2019.</w:t>
            </w:r>
          </w:p>
        </w:tc>
      </w:tr>
    </w:tbl>
    <w:p w14:paraId="6C3A9693">
      <w:pPr>
        <w:pStyle w:val="2"/>
        <w:spacing w:before="360" w:after="120"/>
      </w:pPr>
      <w:r>
        <w:rPr>
          <w:rFonts w:ascii="Arial" w:hAnsi="Arial" w:eastAsia="Arial" w:cs="Arial"/>
          <w:b/>
          <w:bCs/>
          <w:color w:val="1F4E79"/>
          <w:sz w:val="28"/>
          <w:szCs w:val="28"/>
        </w:rPr>
        <w:t>7. How the Datasets Work Together</w:t>
      </w:r>
    </w:p>
    <w:p w14:paraId="5FEF1032">
      <w:pPr>
        <w:spacing w:before="60" w:after="60"/>
      </w:pPr>
      <w:r>
        <w:rPr>
          <w:rFonts w:ascii="Arial" w:hAnsi="Arial" w:eastAsia="Arial" w:cs="Arial"/>
          <w:sz w:val="20"/>
          <w:szCs w:val="20"/>
        </w:rPr>
        <w:t>The three data sources are complementary, not redundant. Each addresses a distinct analytical need:</w:t>
      </w:r>
    </w:p>
    <w:p w14:paraId="4FBC04C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50CF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6F96B71E">
            <w:r>
              <w:rPr>
                <w:rFonts w:ascii="Arial" w:hAnsi="Arial" w:eastAsia="Arial" w:cs="Arial"/>
                <w:b/>
                <w:bCs/>
                <w:color w:val="FFFFFF"/>
                <w:sz w:val="18"/>
                <w:szCs w:val="18"/>
              </w:rPr>
              <w:t>Analytical Need</w:t>
            </w:r>
          </w:p>
        </w:tc>
        <w:tc>
          <w:tcPr>
            <w:tcW w:w="33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6BB9D5B5">
            <w:r>
              <w:rPr>
                <w:rFonts w:ascii="Arial" w:hAnsi="Arial" w:eastAsia="Arial" w:cs="Arial"/>
                <w:b/>
                <w:bCs/>
                <w:color w:val="FFFFFF"/>
                <w:sz w:val="18"/>
                <w:szCs w:val="18"/>
              </w:rPr>
              <w:t>Primary Source</w:t>
            </w:r>
          </w:p>
        </w:tc>
        <w:tc>
          <w:tcPr>
            <w:tcW w:w="33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40" w:type="dxa"/>
              <w:bottom w:w="100" w:type="dxa"/>
              <w:right w:w="140" w:type="dxa"/>
            </w:tcMar>
          </w:tcPr>
          <w:p w14:paraId="2091BDA4">
            <w:r>
              <w:rPr>
                <w:rFonts w:ascii="Arial" w:hAnsi="Arial" w:eastAsia="Arial" w:cs="Arial"/>
                <w:b/>
                <w:bCs/>
                <w:color w:val="FFFFFF"/>
                <w:sz w:val="18"/>
                <w:szCs w:val="18"/>
              </w:rPr>
              <w:t>Supporting Source</w:t>
            </w:r>
          </w:p>
        </w:tc>
      </w:tr>
      <w:tr w14:paraId="1732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15ED3E7C">
            <w:r>
              <w:rPr>
                <w:rFonts w:ascii="Arial" w:hAnsi="Arial" w:eastAsia="Arial" w:cs="Arial"/>
                <w:b/>
                <w:bCs/>
                <w:sz w:val="18"/>
                <w:szCs w:val="18"/>
              </w:rPr>
              <w:t>Identify high-volume corridors (by source country)</w:t>
            </w:r>
          </w:p>
        </w:tc>
        <w:tc>
          <w:tcPr>
            <w:tcW w:w="33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6FB2DBD6">
            <w:r>
              <w:rPr>
                <w:rFonts w:ascii="Arial" w:hAnsi="Arial" w:eastAsia="Arial" w:cs="Arial"/>
                <w:b w:val="0"/>
                <w:bCs w:val="0"/>
                <w:sz w:val="18"/>
                <w:szCs w:val="18"/>
              </w:rPr>
              <w:t>BSP Excel — full annual country breakdown, 2019–2024</w:t>
            </w:r>
          </w:p>
        </w:tc>
        <w:tc>
          <w:tcPr>
            <w:tcW w:w="33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40" w:type="dxa"/>
              <w:bottom w:w="80" w:type="dxa"/>
              <w:right w:w="140" w:type="dxa"/>
            </w:tcMar>
          </w:tcPr>
          <w:p w14:paraId="2BFBCBD5">
            <w:pPr>
              <w:jc w:val="both"/>
              <w:rPr>
                <w:rFonts w:hint="default"/>
                <w:lang w:val="en-US"/>
              </w:rPr>
            </w:pPr>
            <w:r>
              <w:rPr>
                <w:rFonts w:ascii="Arial" w:hAnsi="Arial" w:eastAsia="Arial" w:cs="Arial"/>
                <w:b w:val="0"/>
                <w:bCs w:val="0"/>
                <w:sz w:val="18"/>
                <w:szCs w:val="18"/>
              </w:rPr>
              <w:t>PSA SOF Table 9/6 — OFW distribution by place of work (2019–2020), reviewed as supplementary regional context; excluded from primary analysis as regional-level only</w:t>
            </w:r>
            <w:r>
              <w:rPr>
                <w:rFonts w:hint="default" w:cs="Arial"/>
                <w:b w:val="0"/>
                <w:bCs w:val="0"/>
                <w:sz w:val="18"/>
                <w:szCs w:val="18"/>
                <w:lang w:val="en-US"/>
              </w:rPr>
              <w:t>.</w:t>
            </w:r>
          </w:p>
        </w:tc>
      </w:tr>
      <w:tr w14:paraId="542C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2930FB">
            <w:r>
              <w:rPr>
                <w:rFonts w:ascii="Arial" w:hAnsi="Arial" w:eastAsia="Arial" w:cs="Arial"/>
                <w:b/>
                <w:bCs/>
                <w:sz w:val="18"/>
                <w:szCs w:val="18"/>
              </w:rPr>
              <w:t>Assess formal banking penetration (national level)</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5CDE2C">
            <w:r>
              <w:rPr>
                <w:rFonts w:ascii="Arial" w:hAnsi="Arial" w:eastAsia="Arial" w:cs="Arial"/>
                <w:b w:val="0"/>
                <w:bCs w:val="0"/>
                <w:sz w:val="18"/>
                <w:szCs w:val="18"/>
              </w:rPr>
              <w:t>PSA SOF Table</w:t>
            </w:r>
            <w:r>
              <w:rPr>
                <w:rFonts w:hint="default" w:cs="Arial"/>
                <w:b w:val="0"/>
                <w:bCs w:val="0"/>
                <w:sz w:val="18"/>
                <w:szCs w:val="18"/>
                <w:lang w:val="en-US"/>
              </w:rPr>
              <w:t xml:space="preserve"> </w:t>
            </w:r>
            <w:r>
              <w:rPr>
                <w:rFonts w:ascii="Arial" w:hAnsi="Arial" w:eastAsia="Arial" w:cs="Arial"/>
                <w:b w:val="0"/>
                <w:bCs w:val="0"/>
                <w:sz w:val="18"/>
                <w:szCs w:val="18"/>
              </w:rPr>
              <w:t>9/6 — mode-of-transfer by year, 2019–2024</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D0A40A">
            <w:pPr>
              <w:rPr>
                <w:rFonts w:hint="default"/>
                <w:lang w:val="en-US"/>
              </w:rPr>
            </w:pPr>
            <w:r>
              <w:rPr>
                <w:rFonts w:ascii="Arial" w:hAnsi="Arial" w:eastAsia="Arial" w:cs="Arial"/>
                <w:b w:val="0"/>
                <w:bCs w:val="0"/>
                <w:sz w:val="18"/>
                <w:szCs w:val="18"/>
              </w:rPr>
              <w:t>PSA SOF Table 8 — cash remittance by place of work (2024), reviewed as supplementary regional context; excluded from primary analysis as regional-level only</w:t>
            </w:r>
            <w:r>
              <w:rPr>
                <w:rFonts w:hint="default" w:cs="Arial"/>
                <w:b w:val="0"/>
                <w:bCs w:val="0"/>
                <w:sz w:val="18"/>
                <w:szCs w:val="18"/>
                <w:lang w:val="en-US"/>
              </w:rPr>
              <w:t>.</w:t>
            </w:r>
          </w:p>
        </w:tc>
      </w:tr>
    </w:tbl>
    <w:p w14:paraId="2F585D6C">
      <w:pPr>
        <w:spacing w:before="160" w:after="0"/>
      </w:pPr>
    </w:p>
    <w:p w14:paraId="69724DBD">
      <w:pPr>
        <w:pBdr>
          <w:bottom w:val="single" w:color="CCCCCC" w:sz="4" w:space="1"/>
        </w:pBdr>
        <w:spacing w:before="120" w:after="120"/>
      </w:pPr>
    </w:p>
    <w:p w14:paraId="6A42E456">
      <w:pPr>
        <w:spacing w:before="80" w:after="80"/>
        <w:jc w:val="left"/>
        <w:rPr>
          <w:highlight w:val="none"/>
        </w:rPr>
      </w:pPr>
      <w:r>
        <w:rPr>
          <w:rFonts w:ascii="Arial" w:hAnsi="Arial" w:eastAsia="Arial" w:cs="Arial"/>
          <w:b/>
          <w:bCs/>
          <w:color w:val="555555"/>
          <w:sz w:val="18"/>
          <w:szCs w:val="18"/>
          <w:highlight w:val="none"/>
        </w:rPr>
        <w:t xml:space="preserve">Data Storage: </w:t>
      </w:r>
      <w:r>
        <w:rPr>
          <w:rFonts w:ascii="Arial" w:hAnsi="Arial" w:eastAsia="Arial" w:cs="Arial"/>
          <w:color w:val="555555"/>
          <w:sz w:val="18"/>
          <w:szCs w:val="18"/>
          <w:highlight w:val="none"/>
        </w:rPr>
        <w:t xml:space="preserve">All raw files are stored in a dedicated project folder, following the naming convention: </w:t>
      </w:r>
      <w:r>
        <w:rPr>
          <w:rFonts w:ascii="Arial" w:hAnsi="Arial" w:eastAsia="Arial" w:cs="Arial"/>
          <w:i/>
          <w:iCs/>
          <w:color w:val="555555"/>
          <w:sz w:val="18"/>
          <w:szCs w:val="18"/>
          <w:highlight w:val="none"/>
        </w:rPr>
        <w:t>SOURCE_DATASET_YEAR.extension</w:t>
      </w:r>
      <w:r>
        <w:rPr>
          <w:rFonts w:ascii="Arial" w:hAnsi="Arial" w:eastAsia="Arial" w:cs="Arial"/>
          <w:color w:val="555555"/>
          <w:sz w:val="18"/>
          <w:szCs w:val="18"/>
          <w:highlight w:val="none"/>
        </w:rPr>
        <w:t xml:space="preserve"> (e.g., BSP_CashRemittances_2019-2024.xlsx, </w:t>
      </w:r>
      <w:r>
        <w:rPr>
          <w:rFonts w:hint="default" w:ascii="Arial" w:hAnsi="Arial" w:eastAsia="Arial" w:cs="Arial"/>
          <w:color w:val="555555"/>
          <w:sz w:val="18"/>
          <w:szCs w:val="18"/>
          <w:highlight w:val="none"/>
        </w:rPr>
        <w:t>PSA_SOF_2024_T9_RemittanceByMode</w:t>
      </w:r>
      <w:r>
        <w:rPr>
          <w:rFonts w:ascii="Arial" w:hAnsi="Arial" w:eastAsia="Arial" w:cs="Arial"/>
          <w:color w:val="555555"/>
          <w:sz w:val="18"/>
          <w:szCs w:val="18"/>
          <w:highlight w:val="none"/>
        </w:rPr>
        <w:t>.</w:t>
      </w:r>
      <w:r>
        <w:rPr>
          <w:rFonts w:hint="default" w:cs="Arial"/>
          <w:color w:val="555555"/>
          <w:sz w:val="18"/>
          <w:szCs w:val="18"/>
          <w:highlight w:val="none"/>
          <w:lang w:val="en-US"/>
        </w:rPr>
        <w:t>xlsx</w:t>
      </w:r>
      <w:r>
        <w:rPr>
          <w:rFonts w:ascii="Arial" w:hAnsi="Arial" w:eastAsia="Arial" w:cs="Arial"/>
          <w:color w:val="555555"/>
          <w:sz w:val="18"/>
          <w:szCs w:val="18"/>
          <w:highlight w:val="none"/>
        </w:rPr>
        <w:t>). Raw files are preserved unmodified; cleaned versions are saved separately.</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E7BBB">
    <w:pPr>
      <w:jc w:val="right"/>
    </w:pPr>
    <w:r>
      <w:rPr>
        <w:rFonts w:ascii="Arial" w:hAnsi="Arial" w:eastAsia="Arial" w:cs="Arial"/>
        <w:color w:val="888888"/>
        <w:sz w:val="16"/>
        <w:szCs w:val="16"/>
      </w:rPr>
      <w:t xml:space="preserve">OFW Remittance Analysis  |  Deliverable 2: Data Sources  |  Page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54F3"/>
    <w:multiLevelType w:val="singleLevel"/>
    <w:tmpl w:val="25B654F3"/>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2D445C7"/>
    <w:rsid w:val="1F865547"/>
    <w:rsid w:val="204E012B"/>
    <w:rsid w:val="265E627C"/>
    <w:rsid w:val="26B832EF"/>
    <w:rsid w:val="2F4A18D9"/>
    <w:rsid w:val="371D0DC0"/>
    <w:rsid w:val="3C017DF2"/>
    <w:rsid w:val="3D217101"/>
    <w:rsid w:val="41833C55"/>
    <w:rsid w:val="588E3AA5"/>
    <w:rsid w:val="65BD2897"/>
    <w:rsid w:val="6DCF385C"/>
    <w:rsid w:val="789855E7"/>
    <w:rsid w:val="79A578D1"/>
    <w:rsid w:val="7A9617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20"/>
      <w:outlineLvl w:val="0"/>
    </w:pPr>
    <w:rPr>
      <w:rFonts w:ascii="Arial" w:hAnsi="Arial" w:eastAsia="Arial" w:cs="Arial"/>
      <w:b/>
      <w:bCs/>
      <w:color w:val="1F4E79"/>
      <w:sz w:val="28"/>
      <w:szCs w:val="28"/>
    </w:rPr>
  </w:style>
  <w:style w:type="paragraph" w:styleId="3">
    <w:name w:val="heading 2"/>
    <w:next w:val="1"/>
    <w:qFormat/>
    <w:uiPriority w:val="0"/>
    <w:pPr>
      <w:spacing w:before="240" w:after="10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462</Words>
  <Characters>2917</Characters>
  <TotalTime>0</TotalTime>
  <ScaleCrop>false</ScaleCrop>
  <LinksUpToDate>false</LinksUpToDate>
  <CharactersWithSpaces>3300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2026-03-11T11:38:00Z</dcterms:created>
  <dc:creator>Un-named</dc:creator>
  <cp:lastModifiedBy>Lester John Taborda</cp:lastModifiedBy>
  <dcterms:modified xsi:type="dcterms:W3CDTF">2026-03-26T03:35:58Z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D2B9F53658C84B86A1D429C0B011628D_12</vt:lpwstr>
  </property>
  <property fmtid="{D5CDD505-2E9C-101B-9397-08002B2CF9AE}" pid="4" name="KSOTemplateDocerSaveRecord">
    <vt:lpwstr>eyJoZGlkIjoiNDQ1ZDA2ZmMwMjFmY2UwMjY1ZTQzYTc3MThlNWFkMmYiLCJ1c2VySWQiOiI3MDQ4NDcxNzQzMzMifQ==</vt:lpwstr>
  </property>
</Properties>
</file>