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7558A" w14:textId="77777777" w:rsidR="0007523D" w:rsidRDefault="0007523D" w:rsidP="0007523D">
      <w:pPr>
        <w:keepNext/>
      </w:pPr>
      <w:r>
        <w:rPr>
          <w:noProof/>
        </w:rPr>
        <w:drawing>
          <wp:inline distT="0" distB="0" distL="0" distR="0" wp14:anchorId="66C24304" wp14:editId="2FF7934E">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5F06DEB" w14:textId="695C65E0" w:rsidR="0007523D" w:rsidRDefault="0007523D" w:rsidP="0007523D">
      <w:pPr>
        <w:pStyle w:val="Caption"/>
      </w:pPr>
      <w:r>
        <w:t xml:space="preserve">Figure </w:t>
      </w:r>
      <w:fldSimple w:instr=" SEQ Figure \* ARABIC ">
        <w:r w:rsidR="004C327B">
          <w:rPr>
            <w:noProof/>
          </w:rPr>
          <w:t>1</w:t>
        </w:r>
      </w:fldSimple>
      <w:r>
        <w:t>. Performance of macroinvertebrate inferences using NRSA data.</w:t>
      </w:r>
    </w:p>
    <w:p w14:paraId="6F4CE99B" w14:textId="3EA17A27" w:rsidR="0007523D" w:rsidRPr="0007523D" w:rsidRDefault="0007523D" w:rsidP="0007523D">
      <w:r>
        <w:t>Macroinvertebrate assemblage composition can be used to accurately infer site conductivity and temperature, based on national data. They also provide information on TSS and substrate composition, but less accurate predictions of nutrient concentrations.</w:t>
      </w:r>
    </w:p>
    <w:p w14:paraId="38E886F7" w14:textId="77777777" w:rsidR="0007523D" w:rsidRDefault="0007523D" w:rsidP="00C716E8">
      <w:pPr>
        <w:keepNext/>
      </w:pPr>
    </w:p>
    <w:p w14:paraId="0C1B16C9" w14:textId="13B59A2E" w:rsidR="00C716E8" w:rsidRDefault="00C716E8" w:rsidP="00C716E8">
      <w:pPr>
        <w:keepNext/>
      </w:pPr>
      <w:r>
        <w:rPr>
          <w:noProof/>
        </w:rPr>
        <w:drawing>
          <wp:inline distT="0" distB="0" distL="0" distR="0" wp14:anchorId="53ED3708" wp14:editId="0BBD8B6C">
            <wp:extent cx="3657600" cy="3657600"/>
            <wp:effectExtent l="57150" t="57150" r="57150" b="571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a:scene3d>
                      <a:camera prst="orthographicFront">
                        <a:rot lat="0" lon="0" rev="16200000"/>
                      </a:camera>
                      <a:lightRig rig="threePt" dir="t"/>
                    </a:scene3d>
                  </pic:spPr>
                </pic:pic>
              </a:graphicData>
            </a:graphic>
          </wp:inline>
        </w:drawing>
      </w:r>
    </w:p>
    <w:p w14:paraId="68E42C92" w14:textId="546ABE55" w:rsidR="00AD10C2" w:rsidRDefault="00C716E8" w:rsidP="00C716E8">
      <w:pPr>
        <w:pStyle w:val="Caption"/>
      </w:pPr>
      <w:r>
        <w:t xml:space="preserve">Figure </w:t>
      </w:r>
      <w:fldSimple w:instr=" SEQ Figure \* ARABIC ">
        <w:r w:rsidR="004C327B">
          <w:rPr>
            <w:noProof/>
          </w:rPr>
          <w:t>2</w:t>
        </w:r>
      </w:fldSimple>
      <w:r>
        <w:t>. Predictor variable clusters.</w:t>
      </w:r>
    </w:p>
    <w:p w14:paraId="226C0366" w14:textId="3C5E53E9" w:rsidR="0007523D" w:rsidRDefault="0007523D" w:rsidP="0007523D">
      <w:r>
        <w:t>Vermont environmental and land use metrics group exhibit a strong grouping between chloride and developed lands and between agriculture and forested lands. Direct measurements of water chemistry (e.g., TP, conductivity, nitrate) and local habitat (e.g., gravel_percent) were not strongly associated with land use.</w:t>
      </w:r>
    </w:p>
    <w:p w14:paraId="3B87E23D" w14:textId="77777777" w:rsidR="00C620F5" w:rsidRDefault="00C620F5" w:rsidP="00C620F5">
      <w:pPr>
        <w:keepNext/>
      </w:pPr>
      <w:r>
        <w:rPr>
          <w:noProof/>
        </w:rPr>
        <w:drawing>
          <wp:inline distT="0" distB="0" distL="0" distR="0" wp14:anchorId="36783F2C" wp14:editId="21FB9E86">
            <wp:extent cx="4572000" cy="2289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2289810"/>
                    </a:xfrm>
                    <a:prstGeom prst="rect">
                      <a:avLst/>
                    </a:prstGeom>
                    <a:noFill/>
                    <a:ln>
                      <a:noFill/>
                    </a:ln>
                  </pic:spPr>
                </pic:pic>
              </a:graphicData>
            </a:graphic>
          </wp:inline>
        </w:drawing>
      </w:r>
    </w:p>
    <w:p w14:paraId="09C5EF3C" w14:textId="77687CAA" w:rsidR="0007523D" w:rsidRDefault="00C620F5" w:rsidP="00C620F5">
      <w:pPr>
        <w:pStyle w:val="Caption"/>
      </w:pPr>
      <w:r>
        <w:t xml:space="preserve">Figure </w:t>
      </w:r>
      <w:fldSimple w:instr=" SEQ Figure \* ARABIC ">
        <w:r w:rsidR="004C327B">
          <w:rPr>
            <w:noProof/>
          </w:rPr>
          <w:t>3</w:t>
        </w:r>
      </w:fldSimple>
      <w:r>
        <w:t>. Macroinvertebrate inferences using VT data.</w:t>
      </w:r>
    </w:p>
    <w:p w14:paraId="3505A372" w14:textId="77777777" w:rsidR="003B5DCA" w:rsidRDefault="003B5DCA" w:rsidP="003B5DCA">
      <w:pPr>
        <w:keepNext/>
      </w:pPr>
      <w:r>
        <w:rPr>
          <w:noProof/>
        </w:rPr>
        <w:lastRenderedPageBreak/>
        <w:drawing>
          <wp:inline distT="0" distB="0" distL="0" distR="0" wp14:anchorId="6429E254" wp14:editId="7283DE1A">
            <wp:extent cx="45720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088791F3" w14:textId="7B37EB7F" w:rsidR="00C620F5" w:rsidRDefault="003B5DCA" w:rsidP="003B5DCA">
      <w:pPr>
        <w:pStyle w:val="Caption"/>
      </w:pPr>
      <w:r>
        <w:t xml:space="preserve">Figure </w:t>
      </w:r>
      <w:fldSimple w:instr=" SEQ Figure \* ARABIC ">
        <w:r w:rsidR="004C327B">
          <w:rPr>
            <w:noProof/>
          </w:rPr>
          <w:t>4</w:t>
        </w:r>
      </w:fldSimple>
      <w:r>
        <w:t>. Taxa that are sensitive (left) and tolerant (right) to turbidity.</w:t>
      </w:r>
    </w:p>
    <w:p w14:paraId="322DD473" w14:textId="77777777" w:rsidR="001F2A45" w:rsidRDefault="001F2A45" w:rsidP="001F2A45">
      <w:pPr>
        <w:keepNext/>
      </w:pPr>
      <w:r>
        <w:rPr>
          <w:noProof/>
        </w:rPr>
        <w:lastRenderedPageBreak/>
        <w:drawing>
          <wp:inline distT="0" distB="0" distL="0" distR="0" wp14:anchorId="590BBB6A" wp14:editId="442D0F70">
            <wp:extent cx="45720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01A018B8" w14:textId="132B9050" w:rsidR="003B5DCA" w:rsidRDefault="001F2A45" w:rsidP="001F2A45">
      <w:pPr>
        <w:pStyle w:val="Caption"/>
      </w:pPr>
      <w:r>
        <w:t xml:space="preserve">Figure </w:t>
      </w:r>
      <w:fldSimple w:instr=" SEQ Figure \* ARABIC ">
        <w:r w:rsidR="004C327B">
          <w:rPr>
            <w:noProof/>
          </w:rPr>
          <w:t>5</w:t>
        </w:r>
      </w:fldSimple>
      <w:r>
        <w:t>. Taxa sensitive (left) and tolerant (right) to increases in silt rating.</w:t>
      </w:r>
    </w:p>
    <w:p w14:paraId="0ECF64D8" w14:textId="455C60A0" w:rsidR="00BC460E" w:rsidRDefault="00BC460E" w:rsidP="00BC460E"/>
    <w:p w14:paraId="03F3AFC6" w14:textId="3539FE6F" w:rsidR="00BC460E" w:rsidRDefault="00BC460E" w:rsidP="00BC460E">
      <w:r>
        <w:t>December 20, 2023</w:t>
      </w:r>
    </w:p>
    <w:p w14:paraId="0CE2BD72" w14:textId="5B3278E8" w:rsidR="00BC460E" w:rsidRDefault="00BC460E" w:rsidP="00BC460E">
      <w:pPr>
        <w:pStyle w:val="ListParagraph"/>
        <w:numPr>
          <w:ilvl w:val="0"/>
          <w:numId w:val="1"/>
        </w:numPr>
      </w:pPr>
      <w:r>
        <w:t>Added species identification for particular taxa.</w:t>
      </w:r>
    </w:p>
    <w:p w14:paraId="3A553B97" w14:textId="5B26725B" w:rsidR="00BC460E" w:rsidRDefault="00BC460E" w:rsidP="00BC460E">
      <w:pPr>
        <w:pStyle w:val="ListParagraph"/>
        <w:numPr>
          <w:ilvl w:val="0"/>
          <w:numId w:val="1"/>
        </w:numPr>
      </w:pPr>
      <w:r>
        <w:t>Restricted data to kicknets</w:t>
      </w:r>
    </w:p>
    <w:p w14:paraId="6CFDF6C8" w14:textId="7444A51B" w:rsidR="00BC460E" w:rsidRDefault="00BC460E" w:rsidP="00BC460E">
      <w:pPr>
        <w:pStyle w:val="ListParagraph"/>
        <w:numPr>
          <w:ilvl w:val="0"/>
          <w:numId w:val="1"/>
        </w:numPr>
      </w:pPr>
      <w:r>
        <w:t>Added alkalinity and chloride as variables.</w:t>
      </w:r>
    </w:p>
    <w:p w14:paraId="087EE08B" w14:textId="1D2E975B" w:rsidR="00F74427" w:rsidRDefault="00F74427" w:rsidP="00BC460E">
      <w:pPr>
        <w:pStyle w:val="ListParagraph"/>
        <w:numPr>
          <w:ilvl w:val="0"/>
          <w:numId w:val="1"/>
        </w:numPr>
      </w:pPr>
      <w:r>
        <w:t>Included taxa that occurred in at least 20 samples.</w:t>
      </w:r>
    </w:p>
    <w:p w14:paraId="319E37AD" w14:textId="0FE4635A" w:rsidR="00BC460E" w:rsidRDefault="00EC3385" w:rsidP="00BC460E">
      <w:pPr>
        <w:keepNext/>
      </w:pPr>
      <w:r>
        <w:rPr>
          <w:noProof/>
        </w:rPr>
        <w:lastRenderedPageBreak/>
        <w:drawing>
          <wp:inline distT="0" distB="0" distL="0" distR="0" wp14:anchorId="43AAAFD1" wp14:editId="52FB5B24">
            <wp:extent cx="45720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7169B44" w14:textId="4A1B159D" w:rsidR="00BC460E" w:rsidRDefault="00BC460E" w:rsidP="00BC460E">
      <w:pPr>
        <w:pStyle w:val="Caption"/>
      </w:pPr>
      <w:r>
        <w:t xml:space="preserve">Figure </w:t>
      </w:r>
      <w:fldSimple w:instr=" SEQ Figure \* ARABIC ">
        <w:r w:rsidR="004C327B">
          <w:rPr>
            <w:noProof/>
          </w:rPr>
          <w:t>6</w:t>
        </w:r>
      </w:fldSimple>
      <w:r>
        <w:t>. Inferred environmental conditions vs. observations using only kicknet data.</w:t>
      </w:r>
    </w:p>
    <w:p w14:paraId="43822F96" w14:textId="6419234C" w:rsidR="0058050E" w:rsidRDefault="00E878B5" w:rsidP="0058050E">
      <w:pPr>
        <w:keepNext/>
      </w:pPr>
      <w:r>
        <w:rPr>
          <w:noProof/>
        </w:rPr>
        <w:lastRenderedPageBreak/>
        <w:drawing>
          <wp:inline distT="0" distB="0" distL="0" distR="0" wp14:anchorId="73F9AA4D" wp14:editId="27402D5D">
            <wp:extent cx="45720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A149E81" w14:textId="28617CE3" w:rsidR="00F56CFE" w:rsidRDefault="0058050E" w:rsidP="0058050E">
      <w:pPr>
        <w:pStyle w:val="Caption"/>
      </w:pPr>
      <w:r>
        <w:t xml:space="preserve">Figure </w:t>
      </w:r>
      <w:fldSimple w:instr=" SEQ Figure \* ARABIC ">
        <w:r w:rsidR="004C327B">
          <w:rPr>
            <w:noProof/>
          </w:rPr>
          <w:t>7</w:t>
        </w:r>
      </w:fldSimple>
      <w:r>
        <w:t>. Turbidity sensitive and tolerant taxa.</w:t>
      </w:r>
    </w:p>
    <w:p w14:paraId="2D4A3B28" w14:textId="798B7887" w:rsidR="004C327B" w:rsidRDefault="00662F43" w:rsidP="004C327B">
      <w:pPr>
        <w:keepNext/>
      </w:pPr>
      <w:r>
        <w:rPr>
          <w:noProof/>
        </w:rPr>
        <w:lastRenderedPageBreak/>
        <w:drawing>
          <wp:inline distT="0" distB="0" distL="0" distR="0" wp14:anchorId="598ED054" wp14:editId="32B23441">
            <wp:extent cx="4572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A117958" w14:textId="4EF4CCC8" w:rsidR="0058050E" w:rsidRPr="0058050E" w:rsidRDefault="004C327B" w:rsidP="004C327B">
      <w:pPr>
        <w:pStyle w:val="Caption"/>
      </w:pPr>
      <w:r>
        <w:t xml:space="preserve">Figure </w:t>
      </w:r>
      <w:fldSimple w:instr=" SEQ Figure \* ARABIC ">
        <w:r>
          <w:rPr>
            <w:noProof/>
          </w:rPr>
          <w:t>8</w:t>
        </w:r>
      </w:fldSimple>
      <w:r>
        <w:t>. Silt sensitive and tolerant taxa</w:t>
      </w:r>
    </w:p>
    <w:p w14:paraId="4FAA936A" w14:textId="2F3DB1FC" w:rsidR="0032582B" w:rsidRDefault="00FC3BC7" w:rsidP="0032582B">
      <w:pPr>
        <w:keepNext/>
      </w:pPr>
      <w:r>
        <w:rPr>
          <w:noProof/>
        </w:rPr>
        <w:lastRenderedPageBreak/>
        <w:drawing>
          <wp:inline distT="0" distB="0" distL="0" distR="0" wp14:anchorId="209BEFEE" wp14:editId="16C218CA">
            <wp:extent cx="45720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64E9C576" w14:textId="3D9EDC1A" w:rsidR="00BC460E" w:rsidRDefault="0032582B" w:rsidP="0032582B">
      <w:pPr>
        <w:pStyle w:val="Caption"/>
      </w:pPr>
      <w:r>
        <w:t xml:space="preserve">Figure </w:t>
      </w:r>
      <w:fldSimple w:instr=" SEQ Figure \* ARABIC ">
        <w:r w:rsidR="004C327B">
          <w:rPr>
            <w:noProof/>
          </w:rPr>
          <w:t>9</w:t>
        </w:r>
      </w:fldSimple>
      <w:r>
        <w:t>. Alkalinity sensitive and tolerant taxa.</w:t>
      </w:r>
    </w:p>
    <w:p w14:paraId="25509ACB" w14:textId="564EFDDF" w:rsidR="00DC1650" w:rsidRDefault="00DF510E" w:rsidP="00DC1650">
      <w:pPr>
        <w:keepNext/>
      </w:pPr>
      <w:r>
        <w:rPr>
          <w:noProof/>
        </w:rPr>
        <w:lastRenderedPageBreak/>
        <w:drawing>
          <wp:inline distT="0" distB="0" distL="0" distR="0" wp14:anchorId="1E6B7AE9" wp14:editId="3AD69CED">
            <wp:extent cx="457200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58A380AC" w14:textId="2BD34BC0" w:rsidR="0032582B" w:rsidRPr="0032582B" w:rsidRDefault="00DC1650" w:rsidP="00DC1650">
      <w:pPr>
        <w:pStyle w:val="Caption"/>
      </w:pPr>
      <w:r>
        <w:t xml:space="preserve">Figure </w:t>
      </w:r>
      <w:fldSimple w:instr=" SEQ Figure \* ARABIC ">
        <w:r w:rsidR="004C327B">
          <w:rPr>
            <w:noProof/>
          </w:rPr>
          <w:t>10</w:t>
        </w:r>
      </w:fldSimple>
      <w:r>
        <w:t>. Chloride sensitive and tolerant taxa.</w:t>
      </w:r>
    </w:p>
    <w:sectPr w:rsidR="0032582B" w:rsidRPr="003258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0E2267"/>
    <w:multiLevelType w:val="hybridMultilevel"/>
    <w:tmpl w:val="DD2C8A5A"/>
    <w:lvl w:ilvl="0" w:tplc="AEA2196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5865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449"/>
    <w:rsid w:val="0007523D"/>
    <w:rsid w:val="000B31FF"/>
    <w:rsid w:val="001F2A45"/>
    <w:rsid w:val="00211ACE"/>
    <w:rsid w:val="0032582B"/>
    <w:rsid w:val="003B5DCA"/>
    <w:rsid w:val="004C327B"/>
    <w:rsid w:val="0058050E"/>
    <w:rsid w:val="00662F43"/>
    <w:rsid w:val="007111A9"/>
    <w:rsid w:val="00805F2C"/>
    <w:rsid w:val="008E4449"/>
    <w:rsid w:val="00AD10C2"/>
    <w:rsid w:val="00BC460E"/>
    <w:rsid w:val="00C620F5"/>
    <w:rsid w:val="00C716E8"/>
    <w:rsid w:val="00DC1650"/>
    <w:rsid w:val="00DF510E"/>
    <w:rsid w:val="00E878B5"/>
    <w:rsid w:val="00E91543"/>
    <w:rsid w:val="00EC3385"/>
    <w:rsid w:val="00F56CFE"/>
    <w:rsid w:val="00F74427"/>
    <w:rsid w:val="00FC3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C019F"/>
  <w15:chartTrackingRefBased/>
  <w15:docId w15:val="{74A57045-ED06-42C1-96B3-BEE8630F2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716E8"/>
    <w:pPr>
      <w:spacing w:after="200" w:line="240" w:lineRule="auto"/>
    </w:pPr>
    <w:rPr>
      <w:i/>
      <w:iCs/>
      <w:color w:val="44546A" w:themeColor="text2"/>
      <w:sz w:val="18"/>
      <w:szCs w:val="18"/>
    </w:rPr>
  </w:style>
  <w:style w:type="paragraph" w:styleId="ListParagraph">
    <w:name w:val="List Paragraph"/>
    <w:basedOn w:val="Normal"/>
    <w:uiPriority w:val="34"/>
    <w:qFormat/>
    <w:rsid w:val="00BC46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9</Pages>
  <Words>243</Words>
  <Characters>1388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Lester</dc:creator>
  <cp:keywords/>
  <dc:description/>
  <cp:lastModifiedBy>Yuan, Lester</cp:lastModifiedBy>
  <cp:revision>22</cp:revision>
  <dcterms:created xsi:type="dcterms:W3CDTF">2023-12-05T16:52:00Z</dcterms:created>
  <dcterms:modified xsi:type="dcterms:W3CDTF">2024-01-03T15:08:00Z</dcterms:modified>
</cp:coreProperties>
</file>