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ENTERPRISE RANSOMWARE</w:t>
        <w:br/>
        <w:t>RISK ASSESSMENT TOOL</w:t>
      </w:r>
    </w:p>
    <w:p>
      <w:pPr>
        <w:jc w:val="center"/>
      </w:pPr>
      <w:r>
        <w:rPr>
          <w:i/>
          <w:sz w:val="28"/>
        </w:rPr>
        <w:t>Cybersecurity Project Report</w:t>
      </w:r>
    </w:p>
    <w:p/>
    <w:p>
      <w:pPr>
        <w:jc w:val="center"/>
      </w:pPr>
      <w:r>
        <w:t>Submitted by: Lestin D'souza</w:t>
      </w:r>
    </w:p>
    <w:p>
      <w:pPr>
        <w:jc w:val="center"/>
      </w:pPr>
      <w:r>
        <w:t>Academic background: B.Com (Commerce)</w:t>
      </w:r>
    </w:p>
    <w:p>
      <w:pPr>
        <w:jc w:val="center"/>
      </w:pPr>
      <w:r>
        <w:t>Project domain: Defensive Cybersecurity / Risk Management</w:t>
      </w:r>
    </w:p>
    <w:p>
      <w:pPr>
        <w:jc w:val="center"/>
      </w:pPr>
      <w:r>
        <w:t>Project format: Python Jupyter Notebook</w:t>
      </w:r>
    </w:p>
    <w:p>
      <w:pPr>
        <w:jc w:val="center"/>
      </w:pPr>
      <w:r>
        <w:t>Date: October 2026</w:t>
      </w:r>
    </w:p>
    <w:p/>
    <w:p>
      <w:pPr>
        <w:jc w:val="center"/>
      </w:pPr>
      <w:r>
        <w:rPr>
          <w:b/>
          <w:sz w:val="20"/>
        </w:rPr>
        <w:t>Educational demonstration using hypothetical risk scenarios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Ransomware can interrupt business operations, make files unavailable, expose sensitive information, and create recovery costs. This project presents a beginner-friendly, defensive tool that organizes hypothetical ransomware-related risks, calculates a simple risk score, assigns a risk category, and exports a prioritized risk register to CSV. It is intended to demonstrate basic risk-management thinking and Python programming in a business context. It is not a security audit of a real organization.</w:t>
      </w:r>
    </w:p>
    <w:p>
      <w:pPr>
        <w:pStyle w:val="Heading1"/>
      </w:pPr>
      <w:r>
        <w:t>2. Problem Statement</w:t>
      </w:r>
    </w:p>
    <w:p>
      <w:r>
        <w:t>Organizations may have many possible ransomware exposure points, including employee devices, user accounts, shared files, backups, software, networks, third-party services, and incident-response processes. Without a consistent method, it can be difficult to compare these risks and decide which protective actions to review first. A simple risk register can make the assumptions, ratings, existing controls, and proposed actions visible.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Identify common, illustrative ransomware-related business risks.</w:t>
      </w:r>
    </w:p>
    <w:p>
      <w:pPr>
        <w:pStyle w:val="ListBullet"/>
      </w:pPr>
      <w:r>
        <w:t>Score each risk using a transparent likelihood × impact method.</w:t>
      </w:r>
    </w:p>
    <w:p>
      <w:pPr>
        <w:pStyle w:val="ListBullet"/>
      </w:pPr>
      <w:r>
        <w:t>Classify risks as Low, Moderate, High, or Critical.</w:t>
      </w:r>
    </w:p>
    <w:p>
      <w:pPr>
        <w:pStyle w:val="ListBullet"/>
      </w:pPr>
      <w:r>
        <w:t>Sort risks from highest to lowest score to support prioritization.</w:t>
      </w:r>
    </w:p>
    <w:p>
      <w:pPr>
        <w:pStyle w:val="ListBullet"/>
      </w:pPr>
      <w:r>
        <w:t>Export the risk register to a CSV file for review or further analysis.</w:t>
      </w:r>
    </w:p>
    <w:p>
      <w:pPr>
        <w:pStyle w:val="ListBullet"/>
      </w:pPr>
      <w:r>
        <w:t>Present defensive recommendations while avoiding any malware execution or intrusive testing.</w:t>
      </w:r>
    </w:p>
    <w:p>
      <w:pPr>
        <w:pStyle w:val="Heading1"/>
      </w:pPr>
      <w:r>
        <w:t>4. Scope and Ethical Boundaries</w:t>
      </w:r>
    </w:p>
    <w:p>
      <w:r>
        <w:t>The project is limited to a hypothetical risk register and simple calculations. It does not create or execute ransomware, encrypt or alter user files, scan a network, exploit systems, collect credentials, or access a real organization. No personal, confidential, or company dataset is used. All risk scenarios and ratings are illustrative. Any real-world assessment would require authorization, validated information, and review by qualified personnel.</w:t>
      </w:r>
    </w:p>
    <w:p>
      <w:pPr>
        <w:pStyle w:val="Heading1"/>
      </w:pPr>
      <w:r>
        <w:t>5. Methodology</w:t>
      </w:r>
    </w:p>
    <w:p>
      <w:r>
        <w:t>A descriptive, rule-based method is used. Ten hypothetical risk scenarios were defined across common business assets and processes. Each scenario receives a likelihood rating and an impact rating from 1 to 5. The risk score is calculated as likelihood multiplied by impact. The notebook assigns categories using the following thresholds: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Score</w:t>
            </w:r>
          </w:p>
        </w:tc>
        <w:tc>
          <w:tcPr>
            <w:tcW w:type="dxa" w:w="3360"/>
          </w:tcPr>
          <w:p>
            <w:r>
              <w:t>Risk level</w:t>
            </w:r>
          </w:p>
        </w:tc>
        <w:tc>
          <w:tcPr>
            <w:tcW w:type="dxa" w:w="3360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1–4</w:t>
            </w:r>
          </w:p>
        </w:tc>
        <w:tc>
          <w:tcPr>
            <w:tcW w:type="dxa" w:w="3360"/>
          </w:tcPr>
          <w:p>
            <w:r>
              <w:t>Low</w:t>
            </w:r>
          </w:p>
        </w:tc>
        <w:tc>
          <w:tcPr>
            <w:tcW w:type="dxa" w:w="3360"/>
          </w:tcPr>
          <w:p>
            <w:r>
              <w:t>Monitor using routine controls</w:t>
            </w:r>
          </w:p>
        </w:tc>
      </w:tr>
      <w:tr>
        <w:tc>
          <w:tcPr>
            <w:tcW w:type="dxa" w:w="3360"/>
          </w:tcPr>
          <w:p>
            <w:r>
              <w:t>5–9</w:t>
            </w:r>
          </w:p>
        </w:tc>
        <w:tc>
          <w:tcPr>
            <w:tcW w:type="dxa" w:w="3360"/>
          </w:tcPr>
          <w:p>
            <w:r>
              <w:t>Moderate</w:t>
            </w:r>
          </w:p>
        </w:tc>
        <w:tc>
          <w:tcPr>
            <w:tcW w:type="dxa" w:w="3360"/>
          </w:tcPr>
          <w:p>
            <w:r>
              <w:t>Review controls and consider improvements</w:t>
            </w:r>
          </w:p>
        </w:tc>
      </w:tr>
      <w:tr>
        <w:tc>
          <w:tcPr>
            <w:tcW w:type="dxa" w:w="3360"/>
          </w:tcPr>
          <w:p>
            <w:r>
              <w:t>10–16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Prioritize mitigation planning</w:t>
            </w:r>
          </w:p>
        </w:tc>
      </w:tr>
      <w:tr>
        <w:tc>
          <w:tcPr>
            <w:tcW w:type="dxa" w:w="3360"/>
          </w:tcPr>
          <w:p>
            <w:r>
              <w:t>17–25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Urgent review and action planning</w:t>
            </w:r>
          </w:p>
        </w:tc>
      </w:tr>
    </w:tbl>
    <w:p>
      <w:r>
        <w:t>These thresholds are demonstration choices rather than a universal standard. Likelihood and impact are subjective example ratings, not statistically measured probabilities.</w:t>
      </w:r>
    </w:p>
    <w:p>
      <w:pPr>
        <w:pStyle w:val="Heading1"/>
      </w:pPr>
      <w:r>
        <w:t>6. Tools and Technologies</w:t>
      </w:r>
    </w:p>
    <w:p>
      <w:pPr>
        <w:pStyle w:val="ListBullet"/>
      </w:pPr>
      <w:r>
        <w:t>Python 3 for the scoring logic and CSV export.</w:t>
      </w:r>
    </w:p>
    <w:p>
      <w:pPr>
        <w:pStyle w:val="ListBullet"/>
      </w:pPr>
      <w:r>
        <w:t>Python standard-library modules: csv and pathlib.</w:t>
      </w:r>
    </w:p>
    <w:p>
      <w:pPr>
        <w:pStyle w:val="ListBullet"/>
      </w:pPr>
      <w:r>
        <w:t>Jupyter Notebook format for readable code, explanations, and execution.</w:t>
      </w:r>
    </w:p>
    <w:p>
      <w:pPr>
        <w:pStyle w:val="ListBullet"/>
      </w:pPr>
      <w:r>
        <w:t>Google Colab or a local Jupyter environment can be used to run the notebook.</w:t>
      </w:r>
    </w:p>
    <w:p>
      <w:pPr>
        <w:pStyle w:val="Heading1"/>
      </w:pPr>
      <w:r>
        <w:t>7. Illustrative Risk Register</w:t>
      </w:r>
    </w:p>
    <w:p>
      <w:r>
        <w:t>The following table summarizes the sample scenarios. The ratings are illustrative and should not be interpreted as findings about a real company.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Asset / area</w:t>
            </w:r>
          </w:p>
        </w:tc>
        <w:tc>
          <w:tcPr>
            <w:tcW w:type="dxa" w:w="2016"/>
          </w:tcPr>
          <w:p>
            <w:r>
              <w:t>Likelihood</w:t>
            </w:r>
          </w:p>
        </w:tc>
        <w:tc>
          <w:tcPr>
            <w:tcW w:type="dxa" w:w="2016"/>
          </w:tcPr>
          <w:p>
            <w:r>
              <w:t>Impact</w:t>
            </w:r>
          </w:p>
        </w:tc>
        <w:tc>
          <w:tcPr>
            <w:tcW w:type="dxa" w:w="2016"/>
          </w:tcPr>
          <w:p>
            <w:r>
              <w:t>Score / level</w:t>
            </w:r>
          </w:p>
        </w:tc>
      </w:tr>
      <w:tr>
        <w:tc>
          <w:tcPr>
            <w:tcW w:type="dxa" w:w="2016"/>
            <w:vAlign w:val="center"/>
          </w:tcPr>
          <w:p>
            <w:r>
              <w:t>R01</w:t>
            </w:r>
          </w:p>
        </w:tc>
        <w:tc>
          <w:tcPr>
            <w:tcW w:type="dxa" w:w="2016"/>
            <w:vAlign w:val="center"/>
          </w:tcPr>
          <w:p>
            <w:r>
              <w:t>Employee endpoints</w:t>
            </w:r>
          </w:p>
        </w:tc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20 / Critical</w:t>
            </w:r>
          </w:p>
        </w:tc>
      </w:tr>
      <w:tr>
        <w:tc>
          <w:tcPr>
            <w:tcW w:type="dxa" w:w="2016"/>
            <w:vAlign w:val="center"/>
          </w:tcPr>
          <w:p>
            <w:r>
              <w:t>R02</w:t>
            </w:r>
          </w:p>
        </w:tc>
        <w:tc>
          <w:tcPr>
            <w:tcW w:type="dxa" w:w="2016"/>
            <w:vAlign w:val="center"/>
          </w:tcPr>
          <w:p>
            <w:r>
              <w:t>Shared business files</w:t>
            </w:r>
          </w:p>
        </w:tc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20 / Critical</w:t>
            </w:r>
          </w:p>
        </w:tc>
      </w:tr>
      <w:tr>
        <w:tc>
          <w:tcPr>
            <w:tcW w:type="dxa" w:w="2016"/>
            <w:vAlign w:val="center"/>
          </w:tcPr>
          <w:p>
            <w:r>
              <w:t>R03</w:t>
            </w:r>
          </w:p>
        </w:tc>
        <w:tc>
          <w:tcPr>
            <w:tcW w:type="dxa" w:w="2016"/>
            <w:vAlign w:val="center"/>
          </w:tcPr>
          <w:p>
            <w:r>
              <w:t>User accounts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15 / High</w:t>
            </w:r>
          </w:p>
        </w:tc>
      </w:tr>
      <w:tr>
        <w:tc>
          <w:tcPr>
            <w:tcW w:type="dxa" w:w="2016"/>
            <w:vAlign w:val="center"/>
          </w:tcPr>
          <w:p>
            <w:r>
              <w:t>R04</w:t>
            </w:r>
          </w:p>
        </w:tc>
        <w:tc>
          <w:tcPr>
            <w:tcW w:type="dxa" w:w="2016"/>
            <w:vAlign w:val="center"/>
          </w:tcPr>
          <w:p>
            <w:r>
              <w:t>Backup repository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15 / High</w:t>
            </w:r>
          </w:p>
        </w:tc>
      </w:tr>
      <w:tr>
        <w:tc>
          <w:tcPr>
            <w:tcW w:type="dxa" w:w="2016"/>
            <w:vAlign w:val="center"/>
          </w:tcPr>
          <w:p>
            <w:r>
              <w:t>R06</w:t>
            </w:r>
          </w:p>
        </w:tc>
        <w:tc>
          <w:tcPr>
            <w:tcW w:type="dxa" w:w="2016"/>
            <w:vAlign w:val="center"/>
          </w:tcPr>
          <w:p>
            <w:r>
              <w:t>Network and servers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15 / High</w:t>
            </w:r>
          </w:p>
        </w:tc>
      </w:tr>
      <w:tr>
        <w:tc>
          <w:tcPr>
            <w:tcW w:type="dxa" w:w="2016"/>
            <w:vAlign w:val="center"/>
          </w:tcPr>
          <w:p>
            <w:r>
              <w:t>R09</w:t>
            </w:r>
          </w:p>
        </w:tc>
        <w:tc>
          <w:tcPr>
            <w:tcW w:type="dxa" w:w="2016"/>
            <w:vAlign w:val="center"/>
          </w:tcPr>
          <w:p>
            <w:r>
              <w:t>Sensitive business data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15 / High</w:t>
            </w:r>
          </w:p>
        </w:tc>
      </w:tr>
      <w:tr>
        <w:tc>
          <w:tcPr>
            <w:tcW w:type="dxa" w:w="2016"/>
            <w:vAlign w:val="center"/>
          </w:tcPr>
          <w:p>
            <w:r>
              <w:t>R05</w:t>
            </w:r>
          </w:p>
        </w:tc>
        <w:tc>
          <w:tcPr>
            <w:tcW w:type="dxa" w:w="2016"/>
            <w:vAlign w:val="center"/>
          </w:tcPr>
          <w:p>
            <w:r>
              <w:t>Business applications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12 / High</w:t>
            </w:r>
          </w:p>
        </w:tc>
      </w:tr>
      <w:tr>
        <w:tc>
          <w:tcPr>
            <w:tcW w:type="dxa" w:w="2016"/>
            <w:vAlign w:val="center"/>
          </w:tcPr>
          <w:p>
            <w:r>
              <w:t>R07</w:t>
            </w:r>
          </w:p>
        </w:tc>
        <w:tc>
          <w:tcPr>
            <w:tcW w:type="dxa" w:w="2016"/>
            <w:vAlign w:val="center"/>
          </w:tcPr>
          <w:p>
            <w:r>
              <w:t>Incident response process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12 / High</w:t>
            </w:r>
          </w:p>
        </w:tc>
      </w:tr>
      <w:tr>
        <w:tc>
          <w:tcPr>
            <w:tcW w:type="dxa" w:w="2016"/>
            <w:vAlign w:val="center"/>
          </w:tcPr>
          <w:p>
            <w:r>
              <w:t>R10</w:t>
            </w:r>
          </w:p>
        </w:tc>
        <w:tc>
          <w:tcPr>
            <w:tcW w:type="dxa" w:w="2016"/>
            <w:vAlign w:val="center"/>
          </w:tcPr>
          <w:p>
            <w:r>
              <w:t>Staff awareness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9 / Moderate</w:t>
            </w:r>
          </w:p>
        </w:tc>
      </w:tr>
      <w:tr>
        <w:tc>
          <w:tcPr>
            <w:tcW w:type="dxa" w:w="2016"/>
            <w:vAlign w:val="center"/>
          </w:tcPr>
          <w:p>
            <w:r>
              <w:t>R08</w:t>
            </w:r>
          </w:p>
        </w:tc>
        <w:tc>
          <w:tcPr>
            <w:tcW w:type="dxa" w:w="2016"/>
            <w:vAlign w:val="center"/>
          </w:tcPr>
          <w:p>
            <w:r>
              <w:t>Third-party services</w:t>
            </w:r>
          </w:p>
        </w:tc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8 / Moderate</w:t>
            </w:r>
          </w:p>
        </w:tc>
      </w:tr>
    </w:tbl>
    <w:p>
      <w:pPr>
        <w:pStyle w:val="Heading1"/>
      </w:pPr>
      <w:r>
        <w:t>8. Recommended Defensive Actions</w:t>
      </w:r>
    </w:p>
    <w:p>
      <w:pPr>
        <w:pStyle w:val="ListBullet"/>
      </w:pPr>
      <w:r>
        <w:t>Backups: Keep protected, isolated or immutable backup copies and test restoration on a planned schedule.</w:t>
      </w:r>
    </w:p>
    <w:p>
      <w:pPr>
        <w:pStyle w:val="ListBullet"/>
      </w:pPr>
      <w:r>
        <w:t>Identity: Enable multi-factor authentication, especially for remote and privileged access; remove unnecessary accounts.</w:t>
      </w:r>
    </w:p>
    <w:p>
      <w:pPr>
        <w:pStyle w:val="ListBullet"/>
      </w:pPr>
      <w:r>
        <w:t>Endpoints and email: Maintain endpoint protection, email filtering, and ongoing staff awareness.</w:t>
      </w:r>
    </w:p>
    <w:p>
      <w:pPr>
        <w:pStyle w:val="ListBullet"/>
      </w:pPr>
      <w:r>
        <w:t>Patching: Maintain an asset inventory and apply security updates according to severity and exposure.</w:t>
      </w:r>
    </w:p>
    <w:p>
      <w:pPr>
        <w:pStyle w:val="ListBullet"/>
      </w:pPr>
      <w:r>
        <w:t>Network controls: Restrict administrative privileges and separate critical systems where practical.</w:t>
      </w:r>
    </w:p>
    <w:p>
      <w:pPr>
        <w:pStyle w:val="ListBullet"/>
      </w:pPr>
      <w:r>
        <w:t>Monitoring and response: Centralize relevant logs, define escalation roles, and rehearse an incident-response plan.</w:t>
      </w:r>
    </w:p>
    <w:p>
      <w:pPr>
        <w:pStyle w:val="ListBullet"/>
      </w:pPr>
      <w:r>
        <w:t>Data and suppliers: Limit access to sensitive data and review third-party access and security expectations.</w:t>
      </w:r>
    </w:p>
    <w:p>
      <w:pPr>
        <w:pStyle w:val="Heading1"/>
      </w:pPr>
      <w:r>
        <w:t>9. Alignment with a Cybersecurity Framework</w:t>
      </w:r>
    </w:p>
    <w:p>
      <w:r>
        <w:t>The project is conceptually aligned with the NIST Cybersecurity Framework (CSF) 2.0 functions. Govern relates to responsibility and risk decisions; Identify to understanding assets and risks; Protect to safeguards such as MFA and backups; Detect to monitoring and reporting; Respond to incident roles and playbooks; and Recover to restoration and continuity planning. This is a high-level mapping for learning, not a formal framework assessment.</w:t>
      </w:r>
    </w:p>
    <w:p>
      <w:pPr>
        <w:pStyle w:val="Heading1"/>
      </w:pPr>
      <w:r>
        <w:t>10. Outputs and How to Run</w:t>
      </w:r>
    </w:p>
    <w:p>
      <w:pPr>
        <w:pStyle w:val="ListNumber"/>
      </w:pPr>
      <w:r>
        <w:t>Open Lestin_Dsouza_Enterprise_Ransomware_Assessment.ipynb in Google Colab or Jupyter Notebook.</w:t>
      </w:r>
    </w:p>
    <w:p>
      <w:pPr>
        <w:pStyle w:val="ListNumber"/>
      </w:pPr>
      <w:r>
        <w:t>Run all cells from top to bottom.</w:t>
      </w:r>
    </w:p>
    <w:p>
      <w:pPr>
        <w:pStyle w:val="ListNumber"/>
      </w:pPr>
      <w:r>
        <w:t>Review the printed prioritized risk register.</w:t>
      </w:r>
    </w:p>
    <w:p>
      <w:pPr>
        <w:pStyle w:val="ListNumber"/>
      </w:pPr>
      <w:r>
        <w:t>The notebook creates ransomware_risk_register.csv in the working directory.</w:t>
      </w:r>
    </w:p>
    <w:p>
      <w:pPr>
        <w:pStyle w:val="ListNumber"/>
      </w:pPr>
      <w:r>
        <w:t>The CSV can be opened in spreadsheet software for review.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The dataset is synthetic and small; it does not represent a particular company or sector.</w:t>
      </w:r>
    </w:p>
    <w:p>
      <w:pPr>
        <w:pStyle w:val="ListBullet"/>
      </w:pPr>
      <w:r>
        <w:t>Ratings depend on assumptions and are not evidence-based probability estimates.</w:t>
      </w:r>
    </w:p>
    <w:p>
      <w:pPr>
        <w:pStyle w:val="ListBullet"/>
      </w:pPr>
      <w:r>
        <w:t>The tool does not discover assets, detect threats, measure control effectiveness, or validate compliance.</w:t>
      </w:r>
    </w:p>
    <w:p>
      <w:pPr>
        <w:pStyle w:val="ListBullet"/>
      </w:pPr>
      <w:r>
        <w:t>Risk categories and thresholds should be tailored to organizational context and risk appetite.</w:t>
      </w:r>
    </w:p>
    <w:p>
      <w:pPr>
        <w:pStyle w:val="ListBullet"/>
      </w:pPr>
      <w:r>
        <w:t>A qualified cybersecurity professional should validate any assessment before operational decisions are made.</w:t>
      </w:r>
    </w:p>
    <w:p>
      <w:pPr>
        <w:pStyle w:val="Heading1"/>
      </w:pPr>
      <w:r>
        <w:t>12. Conclusion</w:t>
      </w:r>
    </w:p>
    <w:p>
      <w:r>
        <w:t>This project demonstrates how a simple Python program can structure ransomware risk scenarios, apply consistent scoring rules, prioritize attention, and produce a reusable CSV risk register. Its main value is educational: it connects cybersecurity concepts with business continuity, internal controls, and risk-management decisions. The results are illustrative and should be treated as a starting point for discussion, not proof that an organization is secure or insecure.</w:t>
      </w:r>
    </w:p>
    <w:p>
      <w:pPr>
        <w:pStyle w:val="Heading1"/>
      </w:pPr>
      <w:r>
        <w:t>13. References</w:t>
      </w:r>
    </w:p>
    <w:p>
      <w:pPr>
        <w:pStyle w:val="ListBullet"/>
      </w:pPr>
      <w:r>
        <w:t>National Institute of Standards and Technology (NIST). Cybersecurity Framework (CSF) 2.0 (2024). https://www.nist.gov/cyberframework</w:t>
      </w:r>
    </w:p>
    <w:p>
      <w:pPr>
        <w:pStyle w:val="ListBullet"/>
      </w:pPr>
      <w:r>
        <w:t>Cybersecurity and Infrastructure Security Agency (CISA). StopRansomware. https://www.cisa.gov/stopransomware</w:t>
      </w:r>
    </w:p>
    <w:p>
      <w:pPr>
        <w:pStyle w:val="ListBullet"/>
      </w:pPr>
      <w:r>
        <w:t>Project-specific risk entries, scoring thresholds, and recommendations are illustrative material created for this educational demonstration.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