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1f8f567a9a4275" /></Relationships>
</file>

<file path=word/document.xml><?xml version="1.0" encoding="utf-8"?>
<w:document xmlns:w="http://schemas.openxmlformats.org/wordprocessingml/2006/main">
  <w:body>
    <w:p>
      <w:pPr>
        <w:pStyle w:val="Heading4"/>
        <w:jc w:val="left"/>
        <w:spacing w:before="240" w:after="0"/>
      </w:pPr>
      <w:r>
        <w:rPr>
          <w:b/>
        </w:rPr>
        <w:t>Direct LOS Configuration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the Direct LOS configuration (Figure 1), the airborne system downlinks data directly to an AF DCGS site equipped with a compatible Common Data Link (CDL) receiving antenna. The AF DCGS can also uplink commands via CDL to the airborne system.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a Direct LOS configuration, the AF DCGS site typically performs all of the sensor maintenance, sensor re-tasking, imagery screening, and ASARS-2A sensor imagery exploitation. The Flight Test Facility (FTF) and DGS-3 sites typically use a Direct LOS configuration.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1 Direct LOS Configuration</w:t>
      </w:r>
    </w:p>
    <w:p>
      <w:pPr>
        <w:spacing w:before="240" w:after="240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48300" cy="4401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85a2af1ddc524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t>In the Direct LOS configuration (Figure 1 ), the airborne system downlinks data directly to an AF DCGS site equipped with a compatible Common Data Link (CDL) receiving antenna. The AF DCGS can also uplink commands via CDL to the airborne system.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2cb45e4c6d4b77" /><Relationship Type="http://schemas.openxmlformats.org/officeDocument/2006/relationships/image" Target="/media/image.bin" Id="R85a2af1ddc524806" /></Relationships>
</file>