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Override PartName="/media/image5.bin" ContentType="image/jpeg"/>
  <Override PartName="/media/image6.bin" ContentType="image/jpeg"/>
  <Override PartName="/media/image7.bin" ContentType="image/jpeg"/>
</Types>
</file>

<file path=_rels/.rels>&#65279;<?xml version="1.0" encoding="utf-8"?><Relationships xmlns="http://schemas.openxmlformats.org/package/2006/relationships"><Relationship Type="http://schemas.openxmlformats.org/officeDocument/2006/relationships/officeDocument" Target="/word/document.xml" Id="Rc889dd50bc0c46b3" /></Relationships>
</file>

<file path=word/document.xml><?xml version="1.0" encoding="utf-8"?>
<w:document xmlns:w="http://schemas.openxmlformats.org/wordprocessingml/2006/main">
  <w:body>
    <w:p>
      <w:pPr>
        <w:pStyle w:val="Heading2"/>
        <w:jc w:val="left"/>
        <w:spacing w:before="240" w:after="0"/>
      </w:pPr>
      <w:r>
        <w:rPr>
          <w:b/>
        </w:rPr>
        <w:t>System Description</w:t>
      </w:r>
    </w:p>
    <w:p>
      <w:pPr>
        <w:pStyle w:val="Normal"/>
        <w:spacing w:after="200" w:line="276" w:lineRule="auto"/>
      </w:pPr>
      <w:r>
        <w:rPr>
          <w:sz w:val="24"/>
        </w:rPr>
        <w:t xml:space="preserve">At established AF DCGS sites and Distributed Ground Station (DGS) deployed locations, operators plan navigational routes for the U-2S aircraft to follow during the mission. Using the planned navigational routes, operators can then perform mission planning by identifying potential targets for imagery collection planning and scene planning to capture a target’s imagery using one of the ASARS-2A modes.</w:t>
      </w:r>
    </w:p>
    <w:p>
      <w:pPr>
        <w:pStyle w:val="Normal"/>
        <w:spacing w:after="200" w:line="276" w:lineRule="auto"/>
      </w:pPr>
      <w:r>
        <w:rPr>
          <w:sz w:val="24"/>
        </w:rPr>
        <w:t xml:space="preserve">A completed mission plan is uplinked to the U-2S aircraft / ASARS-2A sensor airborne system for collection and processing. As the aircraft approaches a preplanned scene, raw data is collected as Video Phase History (VPH) data by the Receiver Exciter Controller (REC), and then transmitted to the On-Board Processor (OBP) for recording and/or processing.</w:t>
      </w:r>
    </w:p>
    <w:p>
      <w:pPr>
        <w:pStyle w:val="Normal"/>
        <w:spacing w:after="200" w:line="276" w:lineRule="auto"/>
      </w:pPr>
      <w:r>
        <w:rPr>
          <w:sz w:val="24"/>
        </w:rPr>
        <w:t xml:space="preserve">Once the data is received by the OBP, data is captured and processed into imagery. Users have the option of recording imagery or raw VPH data onto the Sensor Storage Array (SSA). Any imagery which is created is dispatched to an AF DCGS, where analysts may evaluate it.</w:t>
      </w:r>
    </w:p>
    <w:p>
      <w:pPr>
        <w:pStyle w:val="Normal"/>
        <w:spacing w:after="200" w:line="276" w:lineRule="auto"/>
      </w:pPr>
      <w:r>
        <w:rPr>
          <w:sz w:val="24"/>
        </w:rPr>
        <w:t xml:space="preserve">At any point during the mission, operators may edit the mission plan by planning additional scenes or altering parameters of previously planned scenes. Updated scenes may then be uplinked to re-task the ASARS-2A sensor. Scenes requiring immediate collection may also be uplinked to the ASARS-2A sensor for ad hoc tactical requirements.</w:t>
      </w:r>
    </w:p>
    <w:p>
      <w:pPr>
        <w:pStyle w:val="Heading3"/>
        <w:jc w:val="left"/>
        <w:spacing w:before="240" w:after="0"/>
      </w:pPr>
      <w:r>
        <w:rPr>
          <w:b/>
        </w:rPr>
        <w:t>Operating Sites</w:t>
      </w:r>
    </w:p>
    <w:p>
      <w:pPr>
        <w:pStyle w:val="Normal"/>
        <w:spacing w:after="200" w:line="276" w:lineRule="auto"/>
      </w:pPr>
      <w:r>
        <w:rPr>
          <w:sz w:val="24"/>
        </w:rPr>
        <w:t xml:space="preserve">Each operating site is designated as a core site, reach site, or test site. Core sites and reach sites are mission sites, while test sites function like core sites but do not support operational missions. Reach sites have a line-of-site (LOS) link to the sensor and transmit imagery and telemetry to core sites via satellite. Core sites have the capability to process multiple concurrent missions independently.</w:t>
      </w:r>
    </w:p>
    <w:p>
      <w:pPr>
        <w:pStyle w:val="Normal"/>
        <w:spacing w:after="200" w:line="276" w:lineRule="auto"/>
      </w:pPr>
      <w:r>
        <w:rPr>
          <w:sz w:val="24"/>
        </w:rPr>
        <w:t xml:space="preserve">Functions performed by the APS at core sites include mission planning, mission monitoring, sensor control, screening, dissemination, and exploitation. The following shows a list of sites and their site designation.</w:t>
      </w:r>
    </w:p>
    <w:p>
      <w:pPr>
        <w:pStyle w:val="Normal"/>
        <w:spacing w:after="200" w:line="276" w:lineRule="auto"/>
      </w:pPr>
      <w:r>
        <w:rPr>
          <w:sz w:val="24"/>
        </w:rPr>
        <w:t xml:space="preserve">Table  SEQ Table \* ARABIC 3 Operating Sites</w:t>
      </w:r>
    </w:p>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Site Name</w:t>
            </w:r>
          </w:p>
        </w:tc>
        <w:tc>
          <w:tcPr>
            <w:tcW w:type="auto"/>
          </w:tcPr>
          <w:p>
            <w:pPr>
              <w:pStyle w:val="TableContents"/>
            </w:pPr>
            <w:r>
              <w:rPr>
                <w:sz w:val="22"/>
                <w:b/>
              </w:rPr>
              <w:t xml:space="preserve">Core Site</w:t>
            </w:r>
          </w:p>
        </w:tc>
        <w:tc>
          <w:tcPr>
            <w:tcW w:type="auto"/>
          </w:tcPr>
          <w:p>
            <w:pPr>
              <w:pStyle w:val="TableContents"/>
            </w:pPr>
            <w:r>
              <w:rPr>
                <w:sz w:val="22"/>
                <w:b/>
              </w:rPr>
              <w:t xml:space="preserve">Reach Site</w:t>
            </w:r>
          </w:p>
        </w:tc>
        <w:tc>
          <w:tcPr>
            <w:tcW w:type="auto"/>
          </w:tcPr>
          <w:p>
            <w:pPr>
              <w:pStyle w:val="TableContents"/>
            </w:pPr>
            <w:r>
              <w:rPr>
                <w:sz w:val="22"/>
                <w:b/>
              </w:rPr>
              <w:t xml:space="preserve">Test Site</w:t>
            </w:r>
          </w:p>
        </w:tc>
      </w:tr>
      <w:tr>
        <w:tc>
          <w:tcPr>
            <w:tcW w:type="auto"/>
          </w:tcPr>
          <w:p>
            <w:pPr>
              <w:pStyle w:val="TableContents"/>
            </w:pPr>
            <w:r>
              <w:rPr>
                <w:sz w:val="22"/>
              </w:rPr>
              <w:t xml:space="preserve">DGS-1</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DGS-2</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DGS-3</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DGS-4</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DGS-5</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DGS-X</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r>
        <w:tc>
          <w:tcPr>
            <w:tcW w:type="auto"/>
          </w:tcPr>
          <w:p>
            <w:pPr>
              <w:pStyle w:val="TableContents"/>
            </w:pPr>
            <w:r>
              <w:rPr>
                <w:sz w:val="22"/>
              </w:rPr>
              <w:t xml:space="preserve">DGS-IN</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DGS-KS</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DGS-MA</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DSIL</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r>
        <w:tc>
          <w:tcPr>
            <w:tcW w:type="auto"/>
          </w:tcPr>
          <w:p>
            <w:pPr>
              <w:pStyle w:val="TableContents"/>
            </w:pPr>
            <w:r>
              <w:rPr>
                <w:sz w:val="22"/>
              </w:rPr>
              <w:t xml:space="preserve">FOL</w:t>
            </w:r>
          </w:p>
        </w:tc>
        <w:tc>
          <w:tcPr>
            <w:tcW w:type="auto"/>
          </w:tcPr>
          <w:p>
            <w:pPr>
              <w:pStyle w:val="TableContents"/>
            </w:pPr>
            <w:r>
              <w:rPr>
                <w:sz w:val="22"/>
              </w:rPr>
              <w:t xml:space="preserve"/>
            </w:r>
          </w:p>
        </w:tc>
        <w:tc>
          <w:tcPr>
            <w:tcW w:type="auto"/>
          </w:tcPr>
          <w:p>
            <w:pPr>
              <w:pStyle w:val="TableContents"/>
            </w:pPr>
            <w:r>
              <w:rPr>
                <w:sz w:val="22"/>
              </w:rPr>
              <w:t xml:space="preserve">X</w:t>
            </w:r>
          </w:p>
        </w:tc>
        <w:tc>
          <w:tcPr>
            <w:tcW w:type="auto"/>
          </w:tcPr>
          <w:p>
            <w:pPr>
              <w:pStyle w:val="TableContents"/>
            </w:pPr>
            <w:r>
              <w:rPr>
                <w:sz w:val="22"/>
              </w:rPr>
              <w:t xml:space="preserve"/>
            </w:r>
          </w:p>
        </w:tc>
      </w:tr>
      <w:tr>
        <w:tc>
          <w:tcPr>
            <w:tcW w:type="auto"/>
          </w:tcPr>
          <w:p>
            <w:pPr>
              <w:pStyle w:val="TableContents"/>
            </w:pPr>
            <w:r>
              <w:rPr>
                <w:sz w:val="22"/>
              </w:rPr>
              <w:t xml:space="preserve">FTF</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bl>
    <w:p>
      <w:pPr>
        <w:pStyle w:val="Heading3"/>
        <w:jc w:val="left"/>
        <w:spacing w:before="240" w:after="0"/>
      </w:pPr>
      <w:r>
        <w:rPr>
          <w:b/>
        </w:rPr>
        <w:t>Ground Datalink 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fc64a078d3b64a58"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51998d98bf0548d9"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0176725f29fb48d3"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p>
      <w:pPr>
        <w:pStyle w:val="Heading3"/>
        <w:jc w:val="left"/>
        <w:spacing w:before="240" w:after="0"/>
      </w:pPr>
      <w:r>
        <w:rPr>
          <w:b/>
        </w:rPr>
        <w:t>Multiple Datalink Capabilities</w:t>
      </w:r>
    </w:p>
    <w:p>
      <w:pPr>
        <w:pStyle w:val="Normal"/>
        <w:spacing w:after="200" w:line="276" w:lineRule="auto"/>
      </w:pPr>
      <w:r>
        <w:rPr>
          <w:sz w:val="24"/>
        </w:rPr>
        <w:t xml:space="preserve">The U-2S aircraft has multiple datalink capabilities (Figure 4). The U-2S aircraft can use two datalinks at the same time; either one CDL datalink and one BLOS SATCOM datalink or two different, independent, concurrent CDL datalinks.</w:t>
      </w:r>
    </w:p>
    <w:p>
      <w:pPr>
        <w:pStyle w:val="Normal"/>
        <w:spacing w:after="200" w:line="276" w:lineRule="auto"/>
      </w:pPr>
      <w:r>
        <w:rPr>
          <w:sz w:val="24"/>
        </w:rPr>
        <w:t xml:space="preserve">If more than one datalink is active, the ASARS-2A sensor can only accept commands from one datalink. By default, the sensor will accept commands from the pilot selected primary datalink. A Control Data Unit (CDU) Reset command can be sent to instruct ASARS-2A sensor to accept commands from a specific datalink, regardless of the pilot selected primary datalink.</w:t>
      </w:r>
    </w:p>
    <w:p>
      <w:pPr>
        <w:pStyle w:val="Normal"/>
        <w:spacing w:after="200" w:line="276" w:lineRule="auto"/>
      </w:pPr>
      <w:r>
        <w:rPr>
          <w:sz w:val="24"/>
        </w:rPr>
        <w:t xml:space="preserve">Figure  SEQ Figure \* ARABIC 4 Multiple Datalink Capabilities</w:t>
      </w:r>
    </w:p>
    <w:p>
      <w:pPr>
        <w:jc w:val="center"/>
        <w:spacing w:before="240" w:after="120"/>
      </w:pPr>
      <w:r>
        <w:drawing>
          <wp:inline xmlns:wp="http://schemas.openxmlformats.org/drawingml/2006/wordprocessingDrawing" distT="0" distB="0" distL="0" distR="0">
            <wp:extent cx="4067651" cy="3287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1e218e68f5724c0b" cstate="print"/>
                    <a:stretch>
                      <a:fillRect/>
                    </a:stretch>
                  </pic:blipFill>
                  <pic:spPr>
                    <a:xfrm>
                      <a:off x="0" y="0"/>
                      <a:ext cx="4067651" cy="3287553"/>
                    </a:xfrm>
                    <a:prstGeom prst="rect">
                      <a:avLst/>
                    </a:prstGeom>
                  </pic:spPr>
                </pic:pic>
              </a:graphicData>
            </a:graphic>
          </wp:inline>
        </w:drawing>
      </w:r>
    </w:p>
    <w:p>
      <w:pPr>
        <w:pStyle w:val="ImageCaption"/>
        <w:jc w:val="center"/>
        <w:spacing w:before="120" w:after="240"/>
      </w:pPr>
      <w:r>
        <w:rPr>
          <w:sz w:val="22"/>
        </w:rPr>
        <w:t>Figure Caption</w:t>
      </w:r>
    </w:p>
    <w:p>
      <w:pPr>
        <w:pStyle w:val="Heading3"/>
        <w:jc w:val="left"/>
        <w:spacing w:before="240" w:after="0"/>
      </w:pPr>
      <w:r>
        <w:rPr>
          <w:b/>
        </w:rPr>
        <w:t>Mission Threads</w:t>
      </w:r>
    </w:p>
    <w:p>
      <w:pPr>
        <w:pStyle w:val="Normal"/>
        <w:spacing w:after="200" w:line="276" w:lineRule="auto"/>
      </w:pPr>
      <w:r>
        <w:rPr>
          <w:sz w:val="24"/>
        </w:rPr>
        <w:t xml:space="preserve">Dual Mission refers to two U-2S aircraft simultaneously flying separate missions. An AF DCGS site is capable of supporting Dual Mission simultaneous mission threads. Each mission thread receives data only from the designated source of mission thread. To be updated…</w:t>
      </w:r>
    </w:p>
    <w:p>
      <w:pPr>
        <w:pStyle w:val="Heading4"/>
        <w:jc w:val="left"/>
        <w:spacing w:before="240" w:after="0"/>
      </w:pPr>
      <w:r>
        <w:rPr>
          <w:b/>
        </w:rPr>
        <w:t>ASARS-2A Data from Reach Site to Core Site</w:t>
      </w:r>
    </w:p>
    <w:p>
      <w:pPr>
        <w:pStyle w:val="Normal"/>
        <w:spacing w:after="200" w:line="276" w:lineRule="auto"/>
      </w:pPr>
      <w:r>
        <w:rPr>
          <w:sz w:val="24"/>
        </w:rPr>
        <w:t xml:space="preserve">This scenario occurs only if an AF DCGS core site has a Direct LOS link to the ASARS-2A sensor (Figure 5). The AF DCGS site VIP-C receives ASARS-2A sensor files and sends to the image server. Processes on the image server connect to the VIP-C to receive telemetry and VIP-C status. Uplink commands are passed from the image server through the VIP-C to the ASARS-2A sensor. To be updated…</w:t>
      </w:r>
    </w:p>
    <w:p>
      <w:pPr>
        <w:pStyle w:val="Normal"/>
        <w:spacing w:after="200" w:line="276" w:lineRule="auto"/>
      </w:pPr>
      <w:r>
        <w:rPr>
          <w:sz w:val="24"/>
        </w:rPr>
        <w:t xml:space="preserve">Figure  SEQ Figure \* ARABIC 5 ASARS-2A Data from Reach Site to Core Site (To be updated…)</w:t>
      </w:r>
    </w:p>
    <w:p>
      <w:pPr>
        <w:jc w:val="center"/>
        <w:spacing w:before="240" w:after="120"/>
      </w:pPr>
      <w:r>
        <w:drawing>
          <wp:inline xmlns:wp="http://schemas.openxmlformats.org/drawingml/2006/wordprocessingDrawing" distT="0" distB="0" distL="0" distR="0">
            <wp:extent cx="5986938" cy="4544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17c1a4dcda4149e9" cstate="print"/>
                    <a:stretch>
                      <a:fillRect/>
                    </a:stretch>
                  </pic:blipFill>
                  <pic:spPr>
                    <a:xfrm>
                      <a:off x="0" y="0"/>
                      <a:ext cx="5986938" cy="4544377"/>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ASARS-2A Data from RGS to Core Site</w:t>
      </w:r>
    </w:p>
    <w:p>
      <w:pPr>
        <w:pStyle w:val="Normal"/>
        <w:spacing w:after="200" w:line="276" w:lineRule="auto"/>
      </w:pPr>
      <w:r>
        <w:rPr>
          <w:sz w:val="24"/>
        </w:rPr>
        <w:t xml:space="preserve">This scenario occurs if an AF DCGS core site receives and displays imagery, MTI data and telemetry transmitted from the reach site (Figure 6). The AF DCGS core site sends uplink commands to the reach site. To be updated…</w:t>
      </w:r>
    </w:p>
    <w:p>
      <w:pPr>
        <w:pStyle w:val="Normal"/>
        <w:spacing w:after="200" w:line="276" w:lineRule="auto"/>
      </w:pPr>
      <w:r>
        <w:rPr>
          <w:sz w:val="24"/>
        </w:rPr>
        <w:t xml:space="preserve">Figure  SEQ Figure \* ARABIC 6 ASARS-2A from RGS to Core Site (To be updated…)</w:t>
      </w:r>
    </w:p>
    <w:p>
      <w:pPr>
        <w:jc w:val="center"/>
        <w:spacing w:before="240" w:after="120"/>
      </w:pPr>
      <w:r>
        <w:drawing>
          <wp:inline xmlns:wp="http://schemas.openxmlformats.org/drawingml/2006/wordprocessingDrawing" distT="0" distB="0" distL="0" distR="0">
            <wp:extent cx="5912643" cy="4575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7e4b7f9619584748" cstate="print"/>
                    <a:stretch>
                      <a:fillRect/>
                    </a:stretch>
                  </pic:blipFill>
                  <pic:spPr>
                    <a:xfrm>
                      <a:off x="0" y="0"/>
                      <a:ext cx="5912643" cy="4575333"/>
                    </a:xfrm>
                    <a:prstGeom prst="rect">
                      <a:avLst/>
                    </a:prstGeom>
                  </pic:spPr>
                </pic:pic>
              </a:graphicData>
            </a:graphic>
          </wp:inline>
        </w:drawing>
      </w:r>
    </w:p>
    <w:p>
      <w:pPr>
        <w:pStyle w:val="ImageCaption"/>
        <w:jc w:val="center"/>
        <w:spacing w:before="120" w:after="240"/>
      </w:pPr>
      <w:r>
        <w:rPr>
          <w:sz w:val="22"/>
        </w:rPr>
        <w:t>Figure Caption</w:t>
      </w:r>
    </w:p>
    <w:p>
      <w:pPr>
        <w:pStyle w:val="Heading3"/>
        <w:jc w:val="left"/>
        <w:spacing w:before="240" w:after="0"/>
      </w:pPr>
      <w:r>
        <w:rPr>
          <w:b/>
        </w:rPr>
        <w:t>APS+ Description</w:t>
      </w:r>
    </w:p>
    <w:p>
      <w:pPr>
        <w:pStyle w:val="Normal"/>
        <w:spacing w:after="200" w:line="276" w:lineRule="auto"/>
      </w:pPr>
      <w:r>
        <w:rPr>
          <w:sz w:val="24"/>
        </w:rPr>
        <w:t xml:space="preserve">The APS+ software provides ASARS-2A sensor health and status monitoring, sensor collection planning, sensor command and control, and sensor imagery screening capabilities. APS+ software is installed on Open Architecture Distributed Common Ground Station (OA DCGS) system, integrated with enterprise services and mission capabilities at central hub sites and is remotely accessed by operational users at individual DGS sites.</w:t>
      </w:r>
    </w:p>
    <w:p>
      <w:pPr>
        <w:pStyle w:val="Heading4"/>
        <w:jc w:val="left"/>
        <w:spacing w:before="240" w:after="0"/>
      </w:pPr>
      <w:r>
        <w:rPr>
          <w:b/>
        </w:rPr>
        <w:t>APS+ Software Environment</w:t>
      </w:r>
    </w:p>
    <w:p>
      <w:pPr>
        <w:pStyle w:val="Normal"/>
        <w:spacing w:after="200" w:line="276" w:lineRule="auto"/>
      </w:pPr>
      <w:r>
        <w:rPr>
          <w:sz w:val="24"/>
        </w:rPr>
        <w:t xml:space="preserve">APS+ is a software component which will be deployed as part of the OA DCGS subsystem within the AF DCGS enterprise. APS+ belongs to the imagery intelligence (IMINT) segment. APS+ operates within a virtual machine (VM) hosted on the OA DCGS hardware stack at operational hub sites. APS+ user-facing applications are made available to users at Distributed Ground Station (DGS) sites which are logically and often physically separated from the hub locations.</w:t>
      </w:r>
    </w:p>
    <w:p>
      <w:pPr>
        <w:pStyle w:val="Normal"/>
        <w:spacing w:after="200" w:line="276" w:lineRule="auto"/>
      </w:pPr>
      <w:r>
        <w:rPr>
          <w:sz w:val="24"/>
        </w:rPr>
        <w:t xml:space="preserve">Similar to other OA DCGS components, APS+ interfaces with standard enterprise services which provide functions such as identity management, access control, auditing, intrusion detection, time of day, hardware and software health and status monitoring, asset management, and other capabilities. Interfaces to standard enterprise services are primarily related to the management of the AF DCGS enterprise, not specifically related to functional interfaces required for mission execution.</w:t>
      </w:r>
    </w:p>
    <w:p>
      <w:pPr>
        <w:pStyle w:val="Heading4"/>
        <w:jc w:val="left"/>
        <w:spacing w:before="240" w:after="0"/>
      </w:pPr>
      <w:r>
        <w:rPr>
          <w:b/>
        </w:rPr>
        <w:t>APS+ Interfaces</w:t>
      </w:r>
    </w:p>
    <w:p>
      <w:pPr>
        <w:pStyle w:val="Normal"/>
        <w:spacing w:after="200" w:line="276" w:lineRule="auto"/>
      </w:pPr>
      <w:r>
        <w:rPr>
          <w:sz w:val="24"/>
        </w:rPr>
        <w:t xml:space="preserve">The APS+ internal and external interfaces both have input and output functions (Figure 7). APS+ internal interfaces are defined as APS+ software in one context interfacing to APS+ software in another context. APS+ external interfaces are defined as APS+ software interfacing to anything which is not APS+ software. Additional details to be provided…</w:t>
      </w:r>
    </w:p>
    <w:p>
      <w:pPr>
        <w:pStyle w:val="Normal"/>
        <w:spacing w:after="200" w:line="276" w:lineRule="auto"/>
      </w:pPr>
      <w:r>
        <w:rPr>
          <w:sz w:val="24"/>
        </w:rPr>
        <w:t xml:space="preserve">Figure  SEQ Figure \* ARABIC 7 APS+ External Interfaces (To be updated…)</w:t>
      </w:r>
    </w:p>
    <w:p>
      <w:pPr>
        <w:jc w:val="center"/>
        <w:spacing w:before="240" w:after="120"/>
      </w:pPr>
      <w:r>
        <w:drawing>
          <wp:inline xmlns:wp="http://schemas.openxmlformats.org/drawingml/2006/wordprocessingDrawing" distT="0" distB="0" distL="0" distR="0">
            <wp:extent cx="6172676" cy="4544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543c177d2438489b" cstate="print"/>
                    <a:stretch>
                      <a:fillRect/>
                    </a:stretch>
                  </pic:blipFill>
                  <pic:spPr>
                    <a:xfrm>
                      <a:off x="0" y="0"/>
                      <a:ext cx="6172676" cy="4544377"/>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Mission Control Interface (MCI)</w:t>
      </w:r>
    </w:p>
    <w:p>
      <w:pPr>
        <w:pStyle w:val="Normal"/>
        <w:spacing w:after="200" w:line="276" w:lineRule="auto"/>
      </w:pPr>
      <w:r>
        <w:rPr>
          <w:sz w:val="24"/>
        </w:rPr>
        <w:t xml:space="preserve">The APS+ software Mission Configuration Interface (MCI) application is used to define a mission at a Core or Reach Site. Prior to takeoff, the mission must be defined using the MCI application. Once the mission is defined and started, background processes are launched to provide interfaces for the VIP-C, telemetry, uplink, and other functions, as appropriate.</w:t>
      </w:r>
    </w:p>
    <w:p>
      <w:pPr>
        <w:pStyle w:val="Heading4"/>
        <w:jc w:val="left"/>
        <w:spacing w:before="240" w:after="0"/>
      </w:pPr>
      <w:r>
        <w:rPr>
          <w:b/>
        </w:rPr>
        <w:t>Sensor Control Workstation (SCWS)</w:t>
      </w:r>
    </w:p>
    <w:p>
      <w:pPr>
        <w:pStyle w:val="Normal"/>
        <w:spacing w:after="200" w:line="276" w:lineRule="auto"/>
      </w:pPr>
      <w:r>
        <w:rPr>
          <w:sz w:val="24"/>
        </w:rPr>
        <w:t xml:space="preserve">The APS+ software Sensor Control Workstation (SCWS) application connects a DGS to the airborne system via datalink. The SCWS application displays information sent from the airborne system to the DGS and provides an interface to uplink commands from the DGS to the airborne system. Prior to takeoff, the mission must be defined and started using the MCI application, then the DGS to airborne system datalink must be established using the SCWS application.</w:t>
      </w:r>
    </w:p>
    <w:p>
      <w:pPr>
        <w:pStyle w:val="Heading4"/>
        <w:jc w:val="left"/>
        <w:spacing w:before="240" w:after="0"/>
      </w:pPr>
      <w:r>
        <w:rPr>
          <w:b/>
        </w:rPr>
        <w:t>Common Sensor Planner (CSP)</w:t>
      </w:r>
    </w:p>
    <w:p>
      <w:pPr>
        <w:pStyle w:val="Normal"/>
        <w:spacing w:after="200" w:line="276" w:lineRule="auto"/>
      </w:pPr>
      <w:r>
        <w:rPr>
          <w:sz w:val="24"/>
        </w:rPr>
        <w:t xml:space="preserve">The APS+ software Common Sensor Planner (CSP) application is the interface to load the mission plan into the ASARS-2A sensor. During a mission, the CSP application can function as a Controlling CSP or as a non- controlling Monitoring CSP.</w:t>
      </w:r>
    </w:p>
    <w:p>
      <w:pPr>
        <w:pStyle w:val="Normal"/>
        <w:spacing w:after="200" w:line="276" w:lineRule="auto"/>
      </w:pPr>
      <w:r>
        <w:rPr>
          <w:sz w:val="24"/>
        </w:rPr>
        <w:t xml:space="preserve">The Controlling CSP function is used exclusively by the MP during pre-mission planning and during the execution of the mission. During the mission, it is used to modify the mission plan, uplink the mission plan to the sensor, update the database for completion of scenes, and output scene status and mission plan information to the External Tasking Service (ETS). Only one instance of the Controlling CSP function is run for a mission thread during a mission.</w:t>
      </w:r>
    </w:p>
    <w:p>
      <w:pPr>
        <w:pStyle w:val="Normal"/>
        <w:spacing w:after="200" w:line="276" w:lineRule="auto"/>
      </w:pPr>
      <w:r>
        <w:rPr>
          <w:sz w:val="24"/>
        </w:rPr>
        <w:t xml:space="preserve">The Monitoring CSP function is used by DGS personnel other than the MP during a mission to maintain situational awareness of the mission. The Monitoring CSP function does not output data to databases and external recipients. Multiple instances of the Monitoring CSP function can operate simultaneously.</w:t>
      </w:r>
    </w:p>
    <w:p>
      <w:pPr>
        <w:pStyle w:val="Heading3"/>
        <w:jc w:val="left"/>
        <w:spacing w:before="240" w:after="0"/>
      </w:pPr>
      <w:r>
        <w:rPr>
          <w:b/>
        </w:rPr>
        <w:t>APS+ Concept of Operations</w:t>
      </w:r>
    </w:p>
    <w:p>
      <w:pPr>
        <w:pStyle w:val="Normal"/>
        <w:spacing w:after="200" w:line="276" w:lineRule="auto"/>
      </w:pPr>
      <w:r>
        <w:rPr>
          <w:sz w:val="24"/>
        </w:rPr>
        <w:t xml:space="preserve">APS+ CONOPS summary to be provided…</w:t>
      </w:r>
    </w:p>
    <w:p>
      <w:pPr>
        <w:pStyle w:val="Heading4"/>
        <w:jc w:val="left"/>
        <w:spacing w:before="240" w:after="0"/>
      </w:pPr>
      <w:r>
        <w:rPr>
          <w:b/>
        </w:rPr>
        <w:t>Pre-Mission Operation</w:t>
      </w:r>
    </w:p>
    <w:p>
      <w:pPr>
        <w:pStyle w:val="Normal"/>
        <w:spacing w:after="200" w:line="276" w:lineRule="auto"/>
      </w:pPr>
      <w:r>
        <w:rPr>
          <w:sz w:val="24"/>
        </w:rPr>
        <w:t xml:space="preserve">To be provided…</w:t>
      </w:r>
    </w:p>
    <w:p>
      <w:pPr>
        <w:pStyle w:val="Heading4"/>
        <w:jc w:val="left"/>
        <w:spacing w:before="240" w:after="0"/>
      </w:pPr>
      <w:r>
        <w:rPr>
          <w:b/>
        </w:rPr>
        <w:t>Live Mission Operation</w:t>
      </w:r>
    </w:p>
    <w:p>
      <w:pPr>
        <w:pStyle w:val="Normal"/>
        <w:spacing w:after="200" w:line="276" w:lineRule="auto"/>
      </w:pPr>
      <w:r>
        <w:rPr>
          <w:sz w:val="24"/>
        </w:rPr>
        <w:t xml:space="preserve">To be provided…</w:t>
      </w:r>
    </w:p>
    <w:p>
      <w:pPr>
        <w:pStyle w:val="Heading4"/>
        <w:jc w:val="left"/>
        <w:spacing w:before="240" w:after="0"/>
      </w:pPr>
      <w:r>
        <w:rPr>
          <w:b/>
        </w:rPr>
        <w:t>Off-Tether Operation</w:t>
      </w:r>
    </w:p>
    <w:p>
      <w:pPr>
        <w:pStyle w:val="Normal"/>
        <w:spacing w:after="200" w:line="276" w:lineRule="auto"/>
      </w:pPr>
      <w:r>
        <w:rPr>
          <w:sz w:val="24"/>
        </w:rPr>
        <w:t xml:space="preserve">To be provided…</w:t>
      </w:r>
    </w:p>
    <w:p>
      <w:pPr>
        <w:pStyle w:val="Normal"/>
        <w:spacing w:after="200" w:line="276" w:lineRule="auto"/>
      </w:pPr>
      <w:r>
        <w:rPr>
          <w:sz w:val="24"/>
        </w:rPr>
        <w:t xml:space="preserve">END OF SECTION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98620a1504254a1e" /><Relationship Type="http://schemas.openxmlformats.org/officeDocument/2006/relationships/image" Target="/media/image.bin" Id="Rfc64a078d3b64a58" /><Relationship Type="http://schemas.openxmlformats.org/officeDocument/2006/relationships/image" Target="/media/image2.bin" Id="R51998d98bf0548d9" /><Relationship Type="http://schemas.openxmlformats.org/officeDocument/2006/relationships/image" Target="/media/image3.bin" Id="R0176725f29fb48d3" /><Relationship Type="http://schemas.openxmlformats.org/officeDocument/2006/relationships/image" Target="/media/image4.bin" Id="R1e218e68f5724c0b" /><Relationship Type="http://schemas.openxmlformats.org/officeDocument/2006/relationships/image" Target="/media/image5.bin" Id="R17c1a4dcda4149e9" /><Relationship Type="http://schemas.openxmlformats.org/officeDocument/2006/relationships/image" Target="/media/image6.bin" Id="R7e4b7f9619584748" /><Relationship Type="http://schemas.openxmlformats.org/officeDocument/2006/relationships/image" Target="/media/image7.bin" Id="R543c177d2438489b" /></Relationships>
</file>