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bin" ContentType="image/jpeg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2117eb8666141c3" /></Relationships>
</file>

<file path=word/document.xml><?xml version="1.0" encoding="utf-8"?>
<w:document xmlns:w="http://schemas.openxmlformats.org/wordprocessingml/2006/main">
  <w:body>
    <w:p>
      <w:pPr>
        <w:pStyle w:val="Heading2"/>
        <w:jc w:val="left"/>
        <w:spacing w:before="240" w:after="0"/>
      </w:pPr>
      <w:r>
        <w:rPr>
          <w:b/>
        </w:rPr>
        <w:t>MCI Operator Instructions</w:t>
      </w:r>
    </w:p>
    <w:p>
      <w:pPr>
        <w:pStyle w:val="Normal"/>
        <w:spacing w:after="200" w:line="276" w:lineRule="auto"/>
      </w:pPr>
      <w:r>
        <w:rPr>
          <w:sz w:val="24"/>
        </w:rPr>
        <w:t xml:space="preserve">This subsection provides MCI displays and controls information, MCI startup and shutdown procedures, MCI functional procedures, and mission thread operation procedures.</w:t>
      </w:r>
    </w:p>
    <w:p>
      <w:pPr>
        <w:pStyle w:val="Heading3"/>
        <w:jc w:val="left"/>
        <w:spacing w:before="240" w:after="0"/>
      </w:pPr>
      <w:r>
        <w:rPr>
          <w:b/>
        </w:rPr>
        <w:t>MCI Displays and Controls</w:t>
      </w:r>
    </w:p>
    <w:p>
      <w:pPr>
        <w:pStyle w:val="Normal"/>
        <w:spacing w:after="200" w:line="276" w:lineRule="auto"/>
      </w:pPr>
      <w:r>
        <w:rPr>
          <w:sz w:val="24"/>
        </w:rPr>
        <w:t xml:space="preserve">MCI, SCWS, and CSP Displays and Controls subsections to be developed using the following as a guide…</w:t>
      </w:r>
    </w:p>
    <w:p>
      <w:pPr>
        <w:pStyle w:val="Normal"/>
        <w:spacing w:after="200" w:line="276" w:lineRule="auto"/>
      </w:pPr>
      <w:r>
        <w:rPr>
          <w:sz w:val="24"/>
        </w:rPr>
        <w:t xml:space="preserve">Main GUI window description</w:t>
      </w:r>
    </w:p>
    <w:p>
      <w:pPr>
        <w:pStyle w:val="Normal"/>
        <w:spacing w:after="200" w:line="276" w:lineRule="auto"/>
      </w:pPr>
      <w:r>
        <w:rPr>
          <w:sz w:val="24"/>
        </w:rPr>
        <w:t xml:space="preserve">Panel #1 (major section of the main GUI window) description</w:t>
      </w:r>
    </w:p>
    <w:p>
      <w:pPr>
        <w:pStyle w:val="Normal"/>
        <w:spacing w:after="200" w:line="276" w:lineRule="auto"/>
      </w:pPr>
      <w:r>
        <w:rPr>
          <w:sz w:val="24"/>
        </w:rPr>
        <w:t xml:space="preserve">MCI example: exploitation segment</w:t>
      </w:r>
    </w:p>
    <w:p>
      <w:pPr>
        <w:pStyle w:val="Normal"/>
        <w:spacing w:after="200" w:line="276" w:lineRule="auto"/>
      </w:pPr>
      <w:r>
        <w:rPr>
          <w:sz w:val="24"/>
        </w:rPr>
        <w:t xml:space="preserve">CSP examples: map area, toolbar, DP area, etc.</w:t>
      </w:r>
    </w:p>
    <w:p>
      <w:pPr>
        <w:pStyle w:val="Normal"/>
        <w:spacing w:after="200" w:line="276" w:lineRule="auto"/>
      </w:pPr>
      <w:r>
        <w:rPr>
          <w:sz w:val="24"/>
        </w:rPr>
        <w:t xml:space="preserve">SCWS examples: overview imagery area, CBIT area, annotation area, etc.</w:t>
      </w:r>
    </w:p>
    <w:p>
      <w:pPr>
        <w:pStyle w:val="Normal"/>
        <w:spacing w:after="200" w:line="276" w:lineRule="auto"/>
      </w:pPr>
      <w:r>
        <w:rPr>
          <w:sz w:val="24"/>
        </w:rPr>
        <w:t xml:space="preserve">Functionality and visual elements description</w:t>
      </w:r>
    </w:p>
    <w:p>
      <w:pPr>
        <w:pStyle w:val="Normal"/>
        <w:spacing w:after="200" w:line="276" w:lineRule="auto"/>
      </w:pPr>
      <w:r>
        <w:rPr>
          <w:sz w:val="24"/>
        </w:rPr>
        <w:t xml:space="preserve">What it does</w:t>
      </w:r>
    </w:p>
    <w:p>
      <w:pPr>
        <w:pStyle w:val="Normal"/>
        <w:spacing w:after="200" w:line="276" w:lineRule="auto"/>
      </w:pPr>
      <w:r>
        <w:rPr>
          <w:sz w:val="24"/>
        </w:rPr>
        <w:t xml:space="preserve">When it is used</w:t>
      </w:r>
    </w:p>
    <w:p>
      <w:pPr>
        <w:pStyle w:val="Normal"/>
        <w:spacing w:after="200" w:line="276" w:lineRule="auto"/>
      </w:pPr>
      <w:r>
        <w:rPr>
          <w:sz w:val="24"/>
        </w:rPr>
        <w:t xml:space="preserve">Why it is used</w:t>
      </w:r>
    </w:p>
    <w:p>
      <w:pPr>
        <w:pStyle w:val="Normal"/>
        <w:spacing w:after="200" w:line="276" w:lineRule="auto"/>
      </w:pPr>
      <w:r>
        <w:rPr>
          <w:sz w:val="24"/>
        </w:rPr>
        <w:t xml:space="preserve">How it relates to mission</w:t>
      </w:r>
    </w:p>
    <w:p>
      <w:pPr>
        <w:pStyle w:val="Normal"/>
        <w:spacing w:after="200" w:line="276" w:lineRule="auto"/>
      </w:pPr>
      <w:r>
        <w:rPr>
          <w:sz w:val="24"/>
        </w:rPr>
        <w:t xml:space="preserve">Panel #2</w:t>
      </w:r>
    </w:p>
    <w:p>
      <w:pPr>
        <w:pStyle w:val="Normal"/>
        <w:spacing w:after="200" w:line="276" w:lineRule="auto"/>
      </w:pPr>
      <w:r>
        <w:rPr>
          <w:sz w:val="24"/>
        </w:rPr>
        <w:t xml:space="preserve">Panel #N</w:t>
      </w:r>
    </w:p>
    <w:p>
      <w:pPr>
        <w:pStyle w:val="Normal"/>
        <w:spacing w:after="200" w:line="276" w:lineRule="auto"/>
      </w:pPr>
      <w:r>
        <w:rPr>
          <w:sz w:val="24"/>
        </w:rPr>
        <w:t xml:space="preserve">Controls</w:t>
      </w:r>
    </w:p>
    <w:p>
      <w:pPr>
        <w:pStyle w:val="Normal"/>
        <w:spacing w:after="200" w:line="276" w:lineRule="auto"/>
      </w:pPr>
      <w:r>
        <w:rPr>
          <w:sz w:val="24"/>
        </w:rPr>
        <w:t xml:space="preserve">Menu bar</w:t>
      </w:r>
    </w:p>
    <w:p>
      <w:pPr>
        <w:pStyle w:val="Normal"/>
        <w:spacing w:after="200" w:line="276" w:lineRule="auto"/>
      </w:pPr>
      <w:r>
        <w:rPr>
          <w:sz w:val="24"/>
        </w:rPr>
        <w:t xml:space="preserve">Category #1, option #1</w:t>
      </w:r>
    </w:p>
    <w:p>
      <w:pPr>
        <w:pStyle w:val="Normal"/>
        <w:spacing w:after="200" w:line="276" w:lineRule="auto"/>
      </w:pPr>
      <w:r>
        <w:rPr>
          <w:sz w:val="24"/>
        </w:rPr>
        <w:t xml:space="preserve">Describe result of option:</w:t>
      </w:r>
    </w:p>
    <w:p>
      <w:pPr>
        <w:pStyle w:val="Normal"/>
        <w:spacing w:after="200" w:line="276" w:lineRule="auto"/>
      </w:pPr>
      <w:r>
        <w:rPr>
          <w:sz w:val="24"/>
        </w:rPr>
        <w:t xml:space="preserve">Display a new window</w:t>
      </w:r>
    </w:p>
    <w:p>
      <w:pPr>
        <w:pStyle w:val="Normal"/>
        <w:spacing w:after="200" w:line="276" w:lineRule="auto"/>
      </w:pPr>
      <w:r>
        <w:rPr>
          <w:sz w:val="24"/>
        </w:rPr>
        <w:t xml:space="preserve">Load or save a file</w:t>
      </w:r>
    </w:p>
    <w:p>
      <w:pPr>
        <w:pStyle w:val="Normal"/>
        <w:spacing w:after="200" w:line="276" w:lineRule="auto"/>
      </w:pPr>
      <w:r>
        <w:rPr>
          <w:sz w:val="24"/>
        </w:rPr>
        <w:t xml:space="preserve">Toggle a setting, etc.</w:t>
      </w:r>
    </w:p>
    <w:p>
      <w:pPr>
        <w:pStyle w:val="Normal"/>
        <w:spacing w:after="200" w:line="276" w:lineRule="auto"/>
      </w:pPr>
      <w:r>
        <w:rPr>
          <w:sz w:val="24"/>
        </w:rPr>
        <w:t xml:space="preserve">If a new window is displayed:</w:t>
      </w:r>
    </w:p>
    <w:p>
      <w:pPr>
        <w:pStyle w:val="Normal"/>
        <w:spacing w:after="200" w:line="276" w:lineRule="auto"/>
      </w:pPr>
      <w:r>
        <w:rPr>
          <w:sz w:val="24"/>
        </w:rPr>
        <w:t xml:space="preserve">Depict the window</w:t>
      </w:r>
    </w:p>
    <w:p>
      <w:pPr>
        <w:pStyle w:val="Normal"/>
        <w:spacing w:after="200" w:line="276" w:lineRule="auto"/>
      </w:pPr>
      <w:r>
        <w:rPr>
          <w:sz w:val="24"/>
        </w:rPr>
        <w:t xml:space="preserve">Describe its function</w:t>
      </w:r>
    </w:p>
    <w:p>
      <w:pPr>
        <w:pStyle w:val="Normal"/>
        <w:spacing w:after="200" w:line="276" w:lineRule="auto"/>
      </w:pPr>
      <w:r>
        <w:rPr>
          <w:sz w:val="24"/>
        </w:rPr>
        <w:t xml:space="preserve">Describe all controls and displays within the window</w:t>
      </w:r>
    </w:p>
    <w:p>
      <w:pPr>
        <w:pStyle w:val="Normal"/>
        <w:spacing w:after="200" w:line="276" w:lineRule="auto"/>
      </w:pPr>
      <w:r>
        <w:rPr>
          <w:sz w:val="24"/>
        </w:rPr>
        <w:t xml:space="preserve">Describe how to dismiss the window:</w:t>
      </w:r>
    </w:p>
    <w:p>
      <w:pPr>
        <w:pStyle w:val="Normal"/>
        <w:spacing w:after="200" w:line="276" w:lineRule="auto"/>
      </w:pPr>
      <w:r>
        <w:rPr>
          <w:sz w:val="24"/>
        </w:rPr>
        <w:t xml:space="preserve">Close window and apply changes</w:t>
      </w:r>
    </w:p>
    <w:p>
      <w:pPr>
        <w:pStyle w:val="Normal"/>
        <w:spacing w:after="200" w:line="276" w:lineRule="auto"/>
      </w:pPr>
      <w:r>
        <w:rPr>
          <w:sz w:val="24"/>
        </w:rPr>
        <w:t xml:space="preserve">Cancel without making changes</w:t>
      </w:r>
    </w:p>
    <w:p>
      <w:pPr>
        <w:pStyle w:val="Normal"/>
        <w:spacing w:after="200" w:line="276" w:lineRule="auto"/>
      </w:pPr>
      <w:r>
        <w:rPr>
          <w:sz w:val="24"/>
        </w:rPr>
        <w:t xml:space="preserve">Is the window modal (must be dismissed before doing anything else) or can it be left open (“floated”) when returning to the main UI?</w:t>
      </w:r>
    </w:p>
    <w:p>
      <w:pPr>
        <w:pStyle w:val="Normal"/>
        <w:spacing w:after="200" w:line="276" w:lineRule="auto"/>
      </w:pPr>
      <w:r>
        <w:rPr>
          <w:sz w:val="24"/>
        </w:rPr>
        <w:t xml:space="preserve">If the menu bar option leads to a sub-menu (another menu pops out of the menu bar option drop-down when the option is hovered over), describe the sub-options</w:t>
      </w:r>
    </w:p>
    <w:p>
      <w:pPr>
        <w:pStyle w:val="Normal"/>
        <w:spacing w:after="200" w:line="276" w:lineRule="auto"/>
      </w:pPr>
      <w:r>
        <w:rPr>
          <w:sz w:val="24"/>
        </w:rPr>
        <w:t xml:space="preserve">Category #1, option #2</w:t>
      </w:r>
    </w:p>
    <w:p>
      <w:pPr>
        <w:pStyle w:val="Normal"/>
        <w:spacing w:after="200" w:line="276" w:lineRule="auto"/>
      </w:pPr>
      <w:r>
        <w:rPr>
          <w:sz w:val="24"/>
        </w:rPr>
        <w:t xml:space="preserve">Category #1, option #N</w:t>
      </w:r>
    </w:p>
    <w:p>
      <w:pPr>
        <w:pStyle w:val="Normal"/>
        <w:spacing w:after="200" w:line="276" w:lineRule="auto"/>
      </w:pPr>
      <w:r>
        <w:rPr>
          <w:sz w:val="24"/>
        </w:rPr>
        <w:t xml:space="preserve">Control widgets (buttons, drop-downs, etc. if any embedded within panel)</w:t>
      </w:r>
    </w:p>
    <w:p>
      <w:pPr>
        <w:pStyle w:val="Normal"/>
        <w:spacing w:after="200" w:line="276" w:lineRule="auto"/>
      </w:pPr>
      <w:r>
        <w:rPr>
          <w:sz w:val="24"/>
        </w:rPr>
        <w:t xml:space="preserve">Mouse and keyboard controls</w:t>
      </w:r>
    </w:p>
    <w:p>
      <w:pPr>
        <w:pStyle w:val="Normal"/>
        <w:spacing w:after="200" w:line="276" w:lineRule="auto"/>
      </w:pPr>
      <w:r>
        <w:rPr>
          <w:sz w:val="24"/>
        </w:rPr>
        <w:t xml:space="preserve">Left-click</w:t>
      </w:r>
    </w:p>
    <w:p>
      <w:pPr>
        <w:pStyle w:val="Normal"/>
        <w:spacing w:after="200" w:line="276" w:lineRule="auto"/>
      </w:pPr>
      <w:r>
        <w:rPr>
          <w:sz w:val="24"/>
        </w:rPr>
        <w:t xml:space="preserve">Single click</w:t>
      </w:r>
    </w:p>
    <w:p>
      <w:pPr>
        <w:pStyle w:val="Normal"/>
        <w:spacing w:after="200" w:line="276" w:lineRule="auto"/>
      </w:pPr>
      <w:r>
        <w:rPr>
          <w:sz w:val="24"/>
        </w:rPr>
        <w:t xml:space="preserve">Double click</w:t>
      </w:r>
    </w:p>
    <w:p>
      <w:pPr>
        <w:pStyle w:val="Normal"/>
        <w:spacing w:after="200" w:line="276" w:lineRule="auto"/>
      </w:pPr>
      <w:r>
        <w:rPr>
          <w:sz w:val="24"/>
        </w:rPr>
        <w:t xml:space="preserve">Click and hold</w:t>
      </w:r>
    </w:p>
    <w:p>
      <w:pPr>
        <w:pStyle w:val="Normal"/>
        <w:spacing w:after="200" w:line="276" w:lineRule="auto"/>
      </w:pPr>
      <w:r>
        <w:rPr>
          <w:sz w:val="24"/>
        </w:rPr>
        <w:t xml:space="preserve">Click and drag</w:t>
      </w:r>
    </w:p>
    <w:p>
      <w:pPr>
        <w:pStyle w:val="Normal"/>
        <w:spacing w:after="200" w:line="276" w:lineRule="auto"/>
      </w:pPr>
      <w:r>
        <w:rPr>
          <w:sz w:val="24"/>
        </w:rPr>
        <w:t xml:space="preserve">Modifier key + click</w:t>
      </w:r>
    </w:p>
    <w:p>
      <w:pPr>
        <w:pStyle w:val="Normal"/>
        <w:spacing w:after="200" w:line="276" w:lineRule="auto"/>
      </w:pPr>
      <w:r>
        <w:rPr>
          <w:sz w:val="24"/>
        </w:rPr>
        <w:t xml:space="preserve">Middle-click</w:t>
      </w:r>
    </w:p>
    <w:p>
      <w:pPr>
        <w:pStyle w:val="Normal"/>
        <w:spacing w:after="200" w:line="276" w:lineRule="auto"/>
      </w:pPr>
      <w:r>
        <w:rPr>
          <w:sz w:val="24"/>
        </w:rPr>
        <w:t xml:space="preserve">Right-click</w:t>
      </w:r>
    </w:p>
    <w:p>
      <w:pPr>
        <w:pStyle w:val="Normal"/>
        <w:spacing w:after="200" w:line="276" w:lineRule="auto"/>
      </w:pPr>
      <w:r>
        <w:rPr>
          <w:sz w:val="24"/>
        </w:rPr>
        <w:t xml:space="preserve">Keyboard shortcuts</w:t>
      </w:r>
    </w:p>
    <w:p>
      <w:pPr>
        <w:pStyle w:val="Normal"/>
        <w:spacing w:after="200" w:line="276" w:lineRule="auto"/>
      </w:pPr>
      <w:r>
        <w:rPr>
          <w:sz w:val="24"/>
        </w:rPr>
        <w:t xml:space="preserve">Standard Control Descriptions</w:t>
      </w:r>
    </w:p>
    <w:p>
      <w:pPr>
        <w:pStyle w:val="Normal"/>
        <w:spacing w:after="200" w:line="276" w:lineRule="auto"/>
      </w:pPr>
      <w:r>
        <w:rPr>
          <w:sz w:val="24"/>
        </w:rPr>
        <w:t xml:space="preserve">Type of control: radio button, check box, drop-down, combo box, slider, etc.</w:t>
      </w:r>
    </w:p>
    <w:p>
      <w:pPr>
        <w:pStyle w:val="Normal"/>
        <w:spacing w:after="200" w:line="276" w:lineRule="auto"/>
      </w:pPr>
      <w:r>
        <w:rPr>
          <w:sz w:val="24"/>
        </w:rPr>
        <w:t xml:space="preserve">Units (if not obvious from the label)</w:t>
      </w:r>
    </w:p>
    <w:p>
      <w:pPr>
        <w:pStyle w:val="Normal"/>
        <w:spacing w:after="200" w:line="276" w:lineRule="auto"/>
      </w:pPr>
      <w:r>
        <w:rPr>
          <w:sz w:val="24"/>
        </w:rPr>
        <w:t xml:space="preserve">Default and/or recommended value</w:t>
      </w:r>
    </w:p>
    <w:p>
      <w:pPr>
        <w:pStyle w:val="Normal"/>
        <w:spacing w:after="200" w:line="276" w:lineRule="auto"/>
      </w:pPr>
      <w:r>
        <w:rPr>
          <w:sz w:val="24"/>
        </w:rPr>
        <w:t xml:space="preserve">Range of values: min/max, enumerations, etc.</w:t>
      </w:r>
    </w:p>
    <w:p>
      <w:pPr>
        <w:pStyle w:val="Normal"/>
        <w:spacing w:after="200" w:line="276" w:lineRule="auto"/>
      </w:pPr>
      <w:r>
        <w:rPr>
          <w:sz w:val="24"/>
        </w:rPr>
        <w:t xml:space="preserve">If applicable, keyboard shortcuts or modifier keys which apply</w:t>
      </w:r>
    </w:p>
    <w:p>
      <w:pPr>
        <w:pStyle w:val="Normal"/>
        <w:spacing w:after="200" w:line="276" w:lineRule="auto"/>
      </w:pPr>
      <w:r>
        <w:rPr>
          <w:sz w:val="24"/>
        </w:rPr>
        <w:t xml:space="preserve">If applicable, whether the control can be customized in some way.</w:t>
      </w:r>
    </w:p>
    <w:p>
      <w:pPr>
        <w:pStyle w:val="Heading3"/>
        <w:jc w:val="left"/>
        <w:spacing w:before="240" w:after="0"/>
      </w:pPr>
      <w:r>
        <w:rPr>
          <w:b/>
        </w:rPr>
        <w:t>MCI Startup and Shutdown</w:t>
      </w:r>
    </w:p>
    <w:p>
      <w:pPr>
        <w:pStyle w:val="Heading4"/>
        <w:jc w:val="left"/>
        <w:spacing w:before="240" w:after="0"/>
      </w:pPr>
      <w:r>
        <w:rPr>
          <w:b/>
        </w:rPr>
        <w:t>MCI Startup</w:t>
      </w:r>
    </w:p>
    <w:p>
      <w:pPr>
        <w:pStyle w:val="Normal"/>
        <w:spacing w:after="200" w:line="276" w:lineRule="auto"/>
      </w:pPr>
      <w:r>
        <w:rPr>
          <w:sz w:val="24"/>
        </w:rPr>
        <w:t xml:space="preserve">During pre-flight, on the DGS MP workstation, perform the following MCI startup steps.</w:t>
      </w:r>
    </w:p>
    <w:p>
      <w:pPr>
        <w:spacing w:before="240" w:after="240"/>
      </w:pPr>
    </w:p>
    <w:tbl>
      <w:tblPr>
        <w:tblBorders>
          <w:top w:val="single" w:sz="1"/>
          <w:bottom w:val="single" w:sz="1"/>
          <w:left w:val="single" w:sz="1"/>
          <w:right w:val="single" w:sz="1"/>
          <w:insideH w:val="single" w:sz="1"/>
          <w:insideV w:val="single" w:sz="1"/>
        </w:tblBorders>
        <w:tblW w:w="5000" w:type="pct"/>
      </w:tblPr>
      <w:tr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  <w:b/>
              </w:rPr>
              <w:t xml:space="preserve">Action </w:t>
            </w:r>
          </w:p>
        </w:tc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  <w:b/>
              </w:rPr>
              <w:t xml:space="preserve">Result</w:t>
            </w:r>
          </w:p>
        </w:tc>
      </w:tr>
      <w:tr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</w:rPr>
              <w:t xml:space="preserve">Log into the workstation Click Launch at bottom left corner of workstation</w:t>
            </w:r>
          </w:p>
        </w:tc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</w:rPr>
              <w:t xml:space="preserve"> Figure  SEQ Figure \* ARABIC 8 Launch Button</w:t>
            </w:r>
          </w:p>
        </w:tc>
      </w:tr>
      <w:tr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</w:rPr>
              <w:t xml:space="preserve">Select Application</w:t>
            </w:r>
          </w:p>
        </w:tc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</w:rPr>
              <w:t xml:space="preserve"> Figure  SEQ Figure \* ARABIC 9 Applications Menu</w:t>
            </w:r>
          </w:p>
        </w:tc>
      </w:tr>
      <w:tr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</w:rPr>
              <w:t xml:space="preserve"/>
            </w:r>
          </w:p>
        </w:tc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</w:rPr>
              <w:t xml:space="preserve"/>
            </w:r>
          </w:p>
        </w:tc>
      </w:tr>
      <w:tr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</w:rPr>
              <w:t xml:space="preserve">For Reach Site  ASARS Mission Tools →  Mission Configuration Interface (MCI) </w:t>
            </w:r>
          </w:p>
        </w:tc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</w:rPr>
              <w:t xml:space="preserve"> Figure  SEQ Figure \* ARABIC 10 Mission Configuration Interface</w:t>
            </w:r>
          </w:p>
        </w:tc>
      </w:tr>
      <w:tr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</w:rPr>
              <w:t xml:space="preserve"/>
            </w:r>
          </w:p>
        </w:tc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</w:rPr>
              <w:t xml:space="preserve"/>
            </w:r>
          </w:p>
        </w:tc>
      </w:tr>
      <w:tr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</w:rPr>
              <w:t xml:space="preserve">Mission Configuration Interface window appears. Click Start New.</w:t>
            </w:r>
          </w:p>
        </w:tc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</w:rPr>
              <w:t xml:space="preserve"> Figure  SEQ Figure \* ARABIC 11 Mission Configuration - Start New</w:t>
            </w:r>
          </w:p>
        </w:tc>
      </w:tr>
      <w:tr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</w:rPr>
              <w:t xml:space="preserve">The Start Mission window appears. For ASARS-2A Select pulldown Sensor Type : ASARS-2A Enter Mission ID Select pulldown option for Local Server Select pulldown option for Mission Thread Pulldown option MCE (Mission Control Element) is disabled – only selectable if selected Sensor Type is ‘Global Hawk’ </w:t>
            </w:r>
          </w:p>
        </w:tc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</w:rPr>
              <w:t xml:space="preserve"> Figure  SEQ Figure \* ARABIC 12 ASARS-2A - Start Mission </w:t>
            </w:r>
          </w:p>
        </w:tc>
      </w:tr>
      <w:tr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</w:rPr>
              <w:t xml:space="preserve"> Select Exploitation Segment(s) using check boxes   Click Start to start the mission as defined</w:t>
            </w:r>
          </w:p>
        </w:tc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</w:rPr>
              <w:t xml:space="preserve"> Figure  SEQ Figure \* ARABIC 13 ASARS-2A - Start Mission (To be updated…) </w:t>
            </w:r>
          </w:p>
        </w:tc>
      </w:tr>
      <w:tr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</w:rPr>
              <w:t xml:space="preserve">The started mission will display in the Mission Configuration Interface window. Background processes will be started on the Local Server to receive data and provide external interfaces.</w:t>
            </w:r>
          </w:p>
        </w:tc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</w:rPr>
              <w:t xml:space="preserve"/>
            </w:r>
          </w:p>
        </w:tc>
      </w:tr>
      <w:tr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</w:rPr>
              <w:t xml:space="preserve">For Core Site Mission Status display </w:t>
            </w:r>
          </w:p>
        </w:tc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</w:rPr>
              <w:t xml:space="preserve"> Figure  SEQ Figure \* ARABIC 14 Core Site - Mission Status </w:t>
            </w:r>
          </w:p>
        </w:tc>
      </w:tr>
      <w:tr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</w:rPr>
              <w:t xml:space="preserve">For Reach Site Mission Status display</w:t>
            </w:r>
          </w:p>
        </w:tc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</w:rPr>
              <w:t xml:space="preserve"> Figure  SEQ Figure \* ARABIC 15 Reach Site - Mission Status </w:t>
            </w:r>
          </w:p>
        </w:tc>
      </w:tr>
    </w:tbl>
    <w:p>
      <w:pPr>
        <w:pStyle w:val="Heading4"/>
        <w:jc w:val="left"/>
        <w:spacing w:before="240" w:after="0"/>
      </w:pPr>
      <w:r>
        <w:rPr>
          <w:b/>
        </w:rPr>
        <w:t>MCI Shutdown</w:t>
      </w:r>
    </w:p>
    <w:p>
      <w:pPr>
        <w:pStyle w:val="Normal"/>
        <w:spacing w:after="200" w:line="276" w:lineRule="auto"/>
      </w:pPr>
      <w:r>
        <w:rPr>
          <w:sz w:val="24"/>
        </w:rPr>
        <w:t xml:space="preserve">On the DGS MP workstation, perform the following MCI shutdown steps.</w:t>
      </w:r>
    </w:p>
    <w:p>
      <w:pPr>
        <w:spacing w:before="240" w:after="240"/>
      </w:pPr>
    </w:p>
    <w:tbl>
      <w:tblPr>
        <w:tblBorders>
          <w:top w:val="single" w:sz="1"/>
          <w:bottom w:val="single" w:sz="1"/>
          <w:left w:val="single" w:sz="1"/>
          <w:right w:val="single" w:sz="1"/>
          <w:insideH w:val="single" w:sz="1"/>
          <w:insideV w:val="single" w:sz="1"/>
        </w:tblBorders>
        <w:tblW w:w="5000" w:type="pct"/>
      </w:tblPr>
      <w:tr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  <w:b/>
              </w:rPr>
              <w:t xml:space="preserve">Action </w:t>
            </w:r>
          </w:p>
        </w:tc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  <w:b/>
              </w:rPr>
              <w:t xml:space="preserve">Result</w:t>
            </w:r>
          </w:p>
        </w:tc>
      </w:tr>
      <w:tr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</w:rPr>
              <w:t xml:space="preserve">To be provided…</w:t>
            </w:r>
          </w:p>
        </w:tc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</w:rPr>
              <w:t xml:space="preserve"/>
            </w:r>
          </w:p>
        </w:tc>
      </w:tr>
    </w:tbl>
    <w:p>
      <w:pPr>
        <w:pStyle w:val="Heading3"/>
        <w:jc w:val="left"/>
        <w:spacing w:before="240" w:after="0"/>
      </w:pPr>
      <w:r>
        <w:rPr>
          <w:b/>
        </w:rPr>
        <w:t>MCI Operation</w:t>
      </w:r>
    </w:p>
    <w:p>
      <w:pPr>
        <w:pStyle w:val="Heading4"/>
        <w:jc w:val="left"/>
        <w:spacing w:before="240" w:after="0"/>
      </w:pPr>
      <w:r>
        <w:rPr>
          <w:b/>
        </w:rPr>
        <w:t>MCI Core Site Options</w:t>
      </w:r>
    </w:p>
    <w:p>
      <w:pPr>
        <w:pStyle w:val="Normal"/>
        <w:spacing w:after="200" w:line="276" w:lineRule="auto"/>
      </w:pPr>
      <w:r>
        <w:rPr>
          <w:sz w:val="24"/>
        </w:rPr>
        <w:t xml:space="preserve">Figure  SEQ Figure \* ARABIC 16 MCI Operation - Core Site</w:t>
      </w:r>
    </w:p>
    <w:p>
      <w:pPr>
        <w:pStyle w:val="Normal"/>
        <w:spacing w:after="200" w:line="276" w:lineRule="auto"/>
      </w:pPr>
      <w:r>
        <w:rPr>
          <w:sz w:val="24"/>
        </w:rPr>
        <w:t xml:space="preserve">Exploitation Segment Options. The Exploitation Segment check boxes specify where to send data. In most cases, "data" refers to imagery files. However, in a few cases, “data” also mean mission planning data, telemetry data, and/or status files.</w:t>
      </w:r>
    </w:p>
    <w:p>
      <w:pPr>
        <w:pStyle w:val="Normal"/>
        <w:spacing w:after="200" w:line="276" w:lineRule="auto"/>
      </w:pPr>
      <w:r>
        <w:rPr>
          <w:sz w:val="24"/>
        </w:rPr>
        <w:t xml:space="preserve">The following are the Exploitation Segment check box options on the "Start Mission" window. The description of each option details the type of data that is sent.</w:t>
      </w:r>
    </w:p>
    <w:p>
      <w:pPr>
        <w:pStyle w:val="Normal"/>
        <w:spacing w:after="200" w:line="276" w:lineRule="auto"/>
      </w:pPr>
      <w:r>
        <w:rPr>
          <w:sz w:val="24"/>
        </w:rPr>
        <w:t xml:space="preserve">Note</w:t>
      </w:r>
    </w:p>
    <w:p>
      <w:pPr>
        <w:pStyle w:val="Normal"/>
        <w:spacing w:after="200" w:line="276" w:lineRule="auto"/>
      </w:pPr>
      <w:r>
        <w:rPr>
          <w:sz w:val="24"/>
        </w:rPr>
        <w:t xml:space="preserve">This list in the GUI is configurable per site. Each site may have a different list of check box options displayed in this GUI.</w:t>
      </w:r>
    </w:p>
    <w:p>
      <w:pPr>
        <w:pStyle w:val="Normal"/>
        <w:spacing w:after="200" w:line="276" w:lineRule="auto"/>
      </w:pPr>
      <w:r>
        <w:rPr>
          <w:sz w:val="24"/>
        </w:rPr>
        <w:t xml:space="preserve">Table  SEQ Table \* ARABIC 4 Exploitation Segment Options (To be updated…)</w:t>
      </w:r>
    </w:p>
    <w:p>
      <w:pPr>
        <w:spacing w:before="240" w:after="240"/>
      </w:pPr>
    </w:p>
    <w:tbl>
      <w:tblPr>
        <w:tblBorders>
          <w:top w:val="single" w:sz="1"/>
          <w:bottom w:val="single" w:sz="1"/>
          <w:left w:val="single" w:sz="1"/>
          <w:right w:val="single" w:sz="1"/>
          <w:insideH w:val="single" w:sz="1"/>
          <w:insideV w:val="single" w:sz="1"/>
        </w:tblBorders>
        <w:tblW w:w="5000" w:type="pct"/>
      </w:tblPr>
      <w:tr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  <w:b/>
              </w:rPr>
              <w:t xml:space="preserve">TIID</w:t>
            </w:r>
          </w:p>
        </w:tc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  <w:b/>
              </w:rPr>
              <w:t xml:space="preserve">Tactical Image ID software</w:t>
            </w:r>
          </w:p>
        </w:tc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  <w:b/>
              </w:rPr>
              <w:t xml:space="preserve">sends imagery mosaics  to the ingest directory for TIID application,  which then fills in the tactical image ID in the NITF header and forwards the NITF file to the TMAN</w:t>
            </w:r>
          </w:p>
        </w:tc>
      </w:tr>
      <w:tr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</w:rPr>
              <w:t xml:space="preserve">MTI/TS</w:t>
            </w:r>
          </w:p>
        </w:tc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</w:rPr>
              <w:t xml:space="preserve">MTI Track Services application</w:t>
            </w:r>
          </w:p>
        </w:tc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</w:rPr>
              <w:t xml:space="preserve">sends MTI NITF files  to MTI/TS via a TCP/IP socket connection</w:t>
            </w:r>
          </w:p>
        </w:tc>
      </w:tr>
      <w:tr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</w:rPr>
              <w:t xml:space="preserve">TMAN</w:t>
            </w:r>
          </w:p>
        </w:tc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</w:rPr>
              <w:t xml:space="preserve">Trusted Manager</w:t>
            </w:r>
          </w:p>
        </w:tc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</w:rPr>
              <w:t xml:space="preserve">deposits imagery directly into a directory on the TMAN for passing to the high-side security enclave</w:t>
            </w:r>
          </w:p>
        </w:tc>
      </w:tr>
      <w:tr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</w:rPr>
              <w:t xml:space="preserve">GDTS/ACA-R</w:t>
            </w:r>
          </w:p>
        </w:tc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</w:rPr>
              <w:t xml:space="preserve">GEOINT Data Transformation Service/Airborne Communication Architecture</w:t>
            </w:r>
          </w:p>
        </w:tc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</w:rPr>
              <w:t xml:space="preserve">sends imagery mosaics  to GDTS/ACA-R using SFTP</w:t>
            </w:r>
          </w:p>
        </w:tc>
      </w:tr>
      <w:tr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</w:rPr>
              <w:t xml:space="preserve">IAS</w:t>
            </w:r>
          </w:p>
        </w:tc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</w:rPr>
              <w:t xml:space="preserve">Imagery Access Solutions</w:t>
            </w:r>
          </w:p>
        </w:tc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</w:rPr>
              <w:t xml:space="preserve">sends imagery mosaics  to the IAS system using RDTP</w:t>
            </w:r>
          </w:p>
        </w:tc>
      </w:tr>
      <w:tr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</w:rPr>
              <w:t xml:space="preserve">Site 6  (LOS)</w:t>
            </w:r>
          </w:p>
        </w:tc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</w:rPr>
              <w:t xml:space="preserve"/>
            </w:r>
          </w:p>
        </w:tc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</w:rPr>
              <w:t xml:space="preserve">sends NITF tiles to Site 6 to support Change Detection, only intended for ASARS-2A Reach (LOS) mission</w:t>
            </w:r>
          </w:p>
        </w:tc>
      </w:tr>
      <w:tr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</w:rPr>
              <w:t xml:space="preserve">Site 10  (LOS)</w:t>
            </w:r>
          </w:p>
        </w:tc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</w:rPr>
              <w:t xml:space="preserve"/>
            </w:r>
          </w:p>
        </w:tc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</w:rPr>
              <w:t xml:space="preserve">sends NITF tiles to Site 10 to support Change Detection, only intended for ASARS-2A Reach (LOS) missions</w:t>
            </w:r>
          </w:p>
        </w:tc>
      </w:tr>
      <w:tr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</w:rPr>
              <w:t xml:space="preserve">DGETS</w:t>
            </w:r>
          </w:p>
        </w:tc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</w:rPr>
              <w:t xml:space="preserve">DCGS Google Earth Thread Server</w:t>
            </w:r>
          </w:p>
        </w:tc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</w:rPr>
              <w:t xml:space="preserve">sends imagery, telemetry, and  mission plan information  to DGETS for visualization on Google Earth</w:t>
            </w:r>
          </w:p>
        </w:tc>
      </w:tr>
      <w:tr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</w:rPr>
              <w:t xml:space="preserve">FEDERATED  (plans)</w:t>
            </w:r>
          </w:p>
        </w:tc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</w:rPr>
              <w:t xml:space="preserve"/>
            </w:r>
          </w:p>
        </w:tc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</w:rPr>
              <w:t xml:space="preserve">SFTP mission plan information  to other DGSes to support federation</w:t>
            </w:r>
          </w:p>
        </w:tc>
      </w:tr>
      <w:tr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</w:rPr>
              <w:t xml:space="preserve">DGS86a</w:t>
            </w:r>
          </w:p>
        </w:tc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</w:rPr>
              <w:t xml:space="preserve"/>
            </w:r>
          </w:p>
        </w:tc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</w:rPr>
              <w:t xml:space="preserve">send imagery  to DGS-86, Environment A for supporting imagery federation using RDTP</w:t>
            </w:r>
          </w:p>
        </w:tc>
      </w:tr>
      <w:tr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</w:rPr>
              <w:t xml:space="preserve">DGS86b</w:t>
            </w:r>
          </w:p>
        </w:tc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</w:rPr>
              <w:t xml:space="preserve"/>
            </w:r>
          </w:p>
        </w:tc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</w:rPr>
              <w:t xml:space="preserve">send imagery  to DGS-86, Environment B for supporting imagery federation  using RDTP</w:t>
            </w:r>
          </w:p>
        </w:tc>
      </w:tr>
    </w:tbl>
    <w:p>
      <w:pPr>
        <w:jc w:val="center"/>
        <w:spacing w:before="240" w:after="120"/>
      </w:pPr>
      <w:r>
        <w:drawing>
          <wp:inline xmlns:wp="http://schemas.openxmlformats.org/drawingml/2006/wordprocessingDrawing" distT="0" distB="0" distL="0" distR="0">
            <wp:extent cx="5943600" cy="4457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xmlns:r="http://schemas.openxmlformats.org/officeDocument/2006/relationships" r:embed="R1758869a9bf84b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  <w:spacing w:before="120" w:after="240"/>
      </w:pPr>
      <w:r>
        <w:rPr>
          <w:sz w:val="22"/>
        </w:rPr>
        <w:t>Figure Caption</w:t>
      </w:r>
    </w:p>
    <w:p>
      <w:pPr>
        <w:pStyle w:val="Heading4"/>
        <w:jc w:val="left"/>
        <w:spacing w:before="240" w:after="0"/>
      </w:pPr>
      <w:r>
        <w:rPr>
          <w:b/>
        </w:rPr>
        <w:t>MCI Reach Site Options</w:t>
      </w:r>
    </w:p>
    <w:p>
      <w:pPr>
        <w:pStyle w:val="Normal"/>
        <w:spacing w:after="200" w:line="276" w:lineRule="auto"/>
      </w:pPr>
      <w:r>
        <w:rPr>
          <w:sz w:val="24"/>
        </w:rPr>
        <w:t xml:space="preserve">Figure  SEQ Figure \* ARABIC 17 MCI Operation - Reach Site</w:t>
      </w:r>
    </w:p>
    <w:p>
      <w:pPr>
        <w:jc w:val="center"/>
        <w:spacing w:before="240" w:after="120"/>
      </w:pPr>
      <w:r>
        <w:drawing>
          <wp:inline xmlns:wp="http://schemas.openxmlformats.org/drawingml/2006/wordprocessingDrawing" distT="0" distB="0" distL="0" distR="0">
            <wp:extent cx="4953000" cy="25507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xmlns:r="http://schemas.openxmlformats.org/officeDocument/2006/relationships" r:embed="R88eb9fdc55384dda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  <w:spacing w:before="120" w:after="240"/>
      </w:pPr>
      <w:r>
        <w:rPr>
          <w:sz w:val="22"/>
        </w:rPr>
        <w:t>Figure Caption</w:t>
      </w:r>
    </w:p>
    <w:p>
      <w:pPr>
        <w:pStyle w:val="Heading3"/>
        <w:jc w:val="left"/>
        <w:spacing w:before="240" w:after="0"/>
      </w:pPr>
      <w:r>
        <w:rPr>
          <w:b/>
        </w:rPr>
        <w:t>Mission Thread Operation</w:t>
      </w:r>
    </w:p>
    <w:p>
      <w:pPr>
        <w:pStyle w:val="Heading4"/>
        <w:jc w:val="left"/>
        <w:spacing w:before="240" w:after="0"/>
      </w:pPr>
      <w:r>
        <w:rPr>
          <w:b/>
        </w:rPr>
        <w:t>Start Mission Thread</w:t>
      </w:r>
    </w:p>
    <w:p>
      <w:pPr>
        <w:pStyle w:val="Normal"/>
        <w:spacing w:after="200" w:line="276" w:lineRule="auto"/>
      </w:pPr>
      <w:r>
        <w:rPr>
          <w:sz w:val="24"/>
        </w:rPr>
        <w:t xml:space="preserve">On the DGS MP workstation, perform the following Start Mission Thread steps. (To be provided…)</w:t>
      </w:r>
    </w:p>
    <w:p>
      <w:pPr>
        <w:pStyle w:val="Heading4"/>
        <w:jc w:val="left"/>
        <w:spacing w:before="240" w:after="0"/>
      </w:pPr>
      <w:r>
        <w:rPr>
          <w:b/>
        </w:rPr>
        <w:t>Monitor Mission Thread</w:t>
      </w:r>
    </w:p>
    <w:p>
      <w:pPr>
        <w:pStyle w:val="Normal"/>
        <w:spacing w:after="200" w:line="276" w:lineRule="auto"/>
      </w:pPr>
      <w:r>
        <w:rPr>
          <w:sz w:val="24"/>
        </w:rPr>
        <w:t xml:space="preserve">On the DGS MP workstation, perform the following Monitor Mission Thread steps. (To be provided…)</w:t>
      </w:r>
    </w:p>
    <w:p>
      <w:pPr>
        <w:pStyle w:val="Heading4"/>
        <w:jc w:val="left"/>
        <w:spacing w:before="240" w:after="0"/>
      </w:pPr>
      <w:r>
        <w:rPr>
          <w:b/>
        </w:rPr>
        <w:t>Stop Mission Thread</w:t>
      </w:r>
    </w:p>
    <w:p>
      <w:pPr>
        <w:pStyle w:val="Normal"/>
        <w:spacing w:after="200" w:line="276" w:lineRule="auto"/>
      </w:pPr>
      <w:r>
        <w:rPr>
          <w:sz w:val="24"/>
        </w:rPr>
        <w:t xml:space="preserve">On the DGS MP workstation, perform the following MCI shutdown steps. (To be provided…)</w:t>
      </w:r>
    </w:p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  <w:basedOn w:val="Normal"/>
    <w:next w:val="Normal"/>
    <w:rPr>
      <w:rFonts w:ascii="Times New Roman"/>
      <w:sz w:val="24"/>
    </w:rPr>
  </w:style>
  <w:style w:type="paragraph" w:styleId="Heading1" w:default="true">
    <w:name w:val="Heading 1"/>
    <w:basedOn w:val="Normal"/>
    <w:next w:val="Normal"/>
    <w:rPr>
      <w:rFonts w:ascii="Arial"/>
      <w:sz w:val="36"/>
      <w:b/>
    </w:rPr>
  </w:style>
  <w:style w:type="paragraph" w:styleId="Heading2" w:default="true">
    <w:name w:val="Heading 2"/>
    <w:basedOn w:val="Normal"/>
    <w:next w:val="Normal"/>
    <w:rPr>
      <w:rFonts w:ascii="Arial"/>
      <w:sz w:val="32"/>
      <w:b/>
    </w:rPr>
  </w:style>
  <w:style w:type="paragraph" w:styleId="Heading3" w:default="true">
    <w:name w:val="Heading 3"/>
    <w:basedOn w:val="Normal"/>
    <w:next w:val="Normal"/>
    <w:rPr>
      <w:rFonts w:ascii="Arial"/>
      <w:sz w:val="28"/>
      <w:b/>
    </w:rPr>
  </w:style>
  <w:style w:type="paragraph" w:styleId="Heading4" w:default="true">
    <w:name w:val="Heading 4"/>
    <w:basedOn w:val="Normal"/>
    <w:next w:val="Normal"/>
    <w:rPr>
      <w:rFonts w:ascii="Arial"/>
      <w:sz w:val="24"/>
      <w:b/>
    </w:rPr>
  </w:style>
  <w:style w:type="paragraph" w:styleId="TableContents" w:default="true">
    <w:name w:val="Table Contents"/>
    <w:basedOn w:val="Normal"/>
    <w:next w:val="Normal"/>
    <w:rPr>
      <w:rFonts w:ascii="Times New Roman"/>
      <w:sz w:val="22"/>
    </w:rPr>
  </w:style>
  <w:style w:type="paragraph" w:styleId="TableTitle" w:default="true">
    <w:name w:val="Table Title"/>
    <w:basedOn w:val="Normal"/>
    <w:next w:val="Normal"/>
    <w:rPr>
      <w:rFonts w:ascii="Times New Roman"/>
      <w:sz w:val="22"/>
      <w:b/>
    </w:rPr>
  </w:style>
  <w:style w:type="paragraph" w:styleId="ImageTitle" w:default="true">
    <w:name w:val="Image Title"/>
    <w:basedOn w:val="Normal"/>
    <w:next w:val="Normal"/>
    <w:rPr>
      <w:rFonts w:ascii="Times New Roman"/>
      <w:sz w:val="22"/>
      <w:b/>
    </w:rPr>
  </w:style>
  <w:style w:type="paragraph" w:styleId="ImageCaption" w:default="true">
    <w:name w:val="Image Caption"/>
    <w:basedOn w:val="Normal"/>
    <w:next w:val="Normal"/>
    <w:rPr>
      <w:rFonts w:ascii="Times New Roman"/>
      <w:sz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873552d790724a1e" /><Relationship Type="http://schemas.openxmlformats.org/officeDocument/2006/relationships/image" Target="/media/image.bin" Id="R1758869a9bf84b63" /><Relationship Type="http://schemas.openxmlformats.org/officeDocument/2006/relationships/image" Target="/media/image2.bin" Id="R88eb9fdc55384dda" /></Relationships>
</file>