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1c762e02510461e" /></Relationships>
</file>

<file path=word/document.xml><?xml version="1.0" encoding="utf-8"?>
<w:document xmlns:w="http://schemas.openxmlformats.org/wordprocessingml/2006/main">
  <w:body>
    <w:p>
      <w:pPr>
        <w:pStyle w:val="Heading3"/>
        <w:jc w:val="left"/>
        <w:spacing w:before="240" w:after="0"/>
      </w:pPr>
      <w:r>
        <w:rPr>
          <w:b/>
        </w:rPr>
        <w:t>SCWS Operation</w:t>
      </w:r>
    </w:p>
    <w:p>
      <w:pPr>
        <w:pStyle w:val="Normal"/>
        <w:spacing w:after="200" w:line="276" w:lineRule="auto"/>
      </w:pPr>
      <w:r>
        <w:rPr>
          <w:sz w:val="24"/>
        </w:rPr>
        <w:t xml:space="preserve">This subsection provides SCWS view imagery procedures, mission definition procedures, uplink OBP commands procedures, uplink MSU status and commands procedures, and uplink REC commands procedures.</w:t>
      </w:r>
    </w:p>
    <w:p>
      <w:pPr>
        <w:pStyle w:val="Normal"/>
        <w:spacing w:after="200" w:line="276" w:lineRule="auto"/>
      </w:pPr>
      <w:r>
        <w:rPr>
          <w:sz w:val="24"/>
        </w:rPr>
        <w:t xml:space="preserve">On DGS workstation, SCWS display, select File tab, then Open.</w:t>
      </w:r>
    </w:p>
    <w:p>
      <w:pPr>
        <w:pStyle w:val="Normal"/>
        <w:spacing w:after="200" w:line="276" w:lineRule="auto"/>
      </w:pPr>
      <w:r>
        <w:rPr>
          <w:sz w:val="24"/>
        </w:rPr>
        <w:t xml:space="preserve">Figure  SEQ Figure \* ARABIC 39 SCWS Open File Dialog</w:t>
      </w:r>
    </w:p>
    <w:p>
      <w:pPr>
        <w:pStyle w:val="Normal"/>
        <w:spacing w:after="200" w:line="276" w:lineRule="auto"/>
      </w:pPr>
      <w:r>
        <w:rPr>
          <w:sz w:val="24"/>
        </w:rPr>
        <w:t xml:space="preserve">Select File tab, then Connect.</w:t>
      </w:r>
    </w:p>
    <w:p>
      <w:pPr>
        <w:pStyle w:val="Normal"/>
        <w:spacing w:after="200" w:line="276" w:lineRule="auto"/>
      </w:pPr>
      <w:r>
        <w:rPr>
          <w:sz w:val="24"/>
        </w:rPr>
        <w:t xml:space="preserve">Figure  SEQ Figure \* ARABIC 40 SCWS Connect Dialog</w:t>
      </w:r>
    </w:p>
    <w:p>
      <w:pPr>
        <w:pStyle w:val="Heading4"/>
        <w:jc w:val="left"/>
        <w:spacing w:before="240" w:after="0"/>
      </w:pPr>
      <w:r>
        <w:rPr>
          <w:b/>
        </w:rPr>
        <w:t>View Imagery</w:t>
      </w:r>
    </w:p>
    <w:p>
      <w:pPr>
        <w:pStyle w:val="Normal"/>
        <w:spacing w:after="200" w:line="276" w:lineRule="auto"/>
      </w:pPr>
      <w:r>
        <w:rPr>
          <w:sz w:val="24"/>
        </w:rPr>
        <w:t xml:space="preserve">Overview (OVR)</w:t>
      </w:r>
    </w:p>
    <w:p>
      <w:pPr>
        <w:pStyle w:val="Heading5"/>
        <w:jc w:val="left"/>
        <w:spacing w:before="240" w:after="0"/>
      </w:pPr>
      <w:r>
        <w:rPr>
          <w:b/>
        </w:rPr>
        <w:t>Scale Image</w:t>
      </w:r>
    </w:p>
    <w:p>
      <w:pPr>
        <w:pStyle w:val="Normal"/>
        <w:spacing w:after="200" w:line="276" w:lineRule="auto"/>
      </w:pPr>
      <w:r>
        <w:rPr>
          <w:sz w:val="24"/>
        </w:rPr>
        <w:t xml:space="preserve">Left-click Scale tab, then left-click desired scale factor radio button.</w:t>
      </w:r>
    </w:p>
    <w:p>
      <w:pPr>
        <w:pStyle w:val="Normal"/>
        <w:spacing w:after="200" w:line="276" w:lineRule="auto"/>
      </w:pPr>
      <w:r>
        <w:rPr>
          <w:sz w:val="24"/>
        </w:rPr>
        <w:t xml:space="preserve">Figure  SEQ Figure \* ARABIC 41 OVR – Scale Image</w:t>
      </w:r>
    </w:p>
    <w:p>
      <w:pPr>
        <w:pStyle w:val="Normal"/>
        <w:spacing w:after="200" w:line="276" w:lineRule="auto"/>
      </w:pPr>
      <w:r>
        <w:rPr>
          <w:sz w:val="24"/>
        </w:rPr>
        <w:t xml:space="preserve">Enhance Image</w:t>
      </w:r>
    </w:p>
    <w:p>
      <w:pPr>
        <w:pStyle w:val="Normal"/>
        <w:spacing w:after="200" w:line="276" w:lineRule="auto"/>
      </w:pPr>
      <w:r>
        <w:rPr>
          <w:sz w:val="24"/>
        </w:rPr>
        <w:t xml:space="preserve">Left-click Enhance tab, then move sliders to adjust the Brightness and Contrast</w:t>
      </w:r>
    </w:p>
    <w:p>
      <w:pPr>
        <w:pStyle w:val="Normal"/>
        <w:spacing w:after="200" w:line="276" w:lineRule="auto"/>
      </w:pPr>
      <w:r>
        <w:rPr>
          <w:sz w:val="24"/>
        </w:rPr>
        <w:t xml:space="preserve">Figure  SEQ Figure \* ARABIC 42 OVR – Brightness and Contrast</w:t>
      </w:r>
    </w:p>
    <w:p>
      <w:pPr>
        <w:pStyle w:val="Normal"/>
        <w:spacing w:after="200" w:line="276" w:lineRule="auto"/>
      </w:pPr>
      <w:r>
        <w:rPr>
          <w:sz w:val="24"/>
        </w:rPr>
        <w:t xml:space="preserve">Display North Arrow</w:t>
      </w:r>
    </w:p>
    <w:p>
      <w:pPr>
        <w:pStyle w:val="Normal"/>
        <w:spacing w:after="200" w:line="276" w:lineRule="auto"/>
      </w:pPr>
      <w:r>
        <w:rPr>
          <w:sz w:val="24"/>
        </w:rPr>
        <w:t xml:space="preserve">Left-click Tools tab, then select North Arrow checkbox to enable OVR North Arrow.</w:t>
      </w:r>
    </w:p>
    <w:p>
      <w:pPr>
        <w:pStyle w:val="Normal"/>
        <w:spacing w:after="200" w:line="276" w:lineRule="auto"/>
      </w:pPr>
      <w:r>
        <w:rPr>
          <w:sz w:val="24"/>
        </w:rPr>
        <w:t xml:space="preserve">Deselect North Arrow checkbox to disable OVR North Arrow.</w:t>
      </w:r>
    </w:p>
    <w:p>
      <w:pPr>
        <w:pStyle w:val="Normal"/>
        <w:spacing w:after="200" w:line="276" w:lineRule="auto"/>
      </w:pPr>
      <w:r>
        <w:rPr>
          <w:sz w:val="24"/>
        </w:rPr>
        <w:t xml:space="preserve">Figure  SEQ Figure \* ARABIC 43 OVR – North Arrow</w:t>
      </w:r>
    </w:p>
    <w:p>
      <w:pPr>
        <w:pStyle w:val="Normal"/>
        <w:spacing w:after="200" w:line="276" w:lineRule="auto"/>
      </w:pPr>
      <w:r>
        <w:rPr>
          <w:sz w:val="24"/>
        </w:rPr>
        <w:t xml:space="preserve">Center Corral</w:t>
      </w:r>
    </w:p>
    <w:p>
      <w:pPr>
        <w:pStyle w:val="Normal"/>
        <w:spacing w:after="200" w:line="276" w:lineRule="auto"/>
      </w:pPr>
      <w:r>
        <w:rPr>
          <w:sz w:val="24"/>
        </w:rPr>
        <w:t xml:space="preserve">Left-click the Tools tab, then select Center Corral to move red Corral square into the center of screen.</w:t>
      </w:r>
    </w:p>
    <w:p>
      <w:pPr>
        <w:pStyle w:val="Normal"/>
        <w:spacing w:after="200" w:line="276" w:lineRule="auto"/>
      </w:pPr>
      <w:r>
        <w:rPr>
          <w:sz w:val="24"/>
        </w:rPr>
        <w:t xml:space="preserve">Figure  SEQ Figure \* ARABIC 44 OVR – Center Corral</w:t>
      </w:r>
    </w:p>
    <w:p>
      <w:pPr>
        <w:pStyle w:val="Normal"/>
        <w:spacing w:after="200" w:line="276" w:lineRule="auto"/>
      </w:pPr>
      <w:r>
        <w:rPr>
          <w:sz w:val="24"/>
        </w:rPr>
        <w:t xml:space="preserve">Change Image Orientation</w:t>
      </w:r>
    </w:p>
    <w:p>
      <w:pPr>
        <w:pStyle w:val="Normal"/>
        <w:spacing w:after="200" w:line="276" w:lineRule="auto"/>
      </w:pPr>
      <w:r>
        <w:rPr>
          <w:sz w:val="24"/>
        </w:rPr>
        <w:t xml:space="preserve">Left-click the Tools tab, then</w:t>
      </w:r>
    </w:p>
    <w:p>
      <w:pPr>
        <w:pStyle w:val="Normal"/>
        <w:spacing w:after="200" w:line="276" w:lineRule="auto"/>
      </w:pPr>
      <w:r>
        <w:rPr>
          <w:sz w:val="24"/>
        </w:rPr>
        <w:t xml:space="preserve">Select Rotate North Up, to reorient the image such that North is up</w:t>
      </w:r>
    </w:p>
    <w:p>
      <w:pPr>
        <w:pStyle w:val="Normal"/>
        <w:spacing w:after="200" w:line="276" w:lineRule="auto"/>
      </w:pPr>
      <w:r>
        <w:rPr>
          <w:sz w:val="24"/>
        </w:rPr>
        <w:t xml:space="preserve">Select Rotate 180° Up, to reorient the image such that the image is rotated 180°</w:t>
      </w:r>
    </w:p>
    <w:p>
      <w:pPr>
        <w:pStyle w:val="Normal"/>
        <w:spacing w:after="200" w:line="276" w:lineRule="auto"/>
      </w:pPr>
      <w:r>
        <w:rPr>
          <w:sz w:val="24"/>
        </w:rPr>
        <w:t xml:space="preserve">Select Rotate 0° Up, to reorient the image such that there is no image rotation.</w:t>
      </w:r>
    </w:p>
    <w:p>
      <w:pPr>
        <w:pStyle w:val="Normal"/>
        <w:spacing w:after="200" w:line="276" w:lineRule="auto"/>
      </w:pPr>
      <w:r>
        <w:rPr>
          <w:sz w:val="24"/>
        </w:rPr>
        <w:t xml:space="preserve">Figure  SEQ Figure \* ARABIC 45 OVR – Image Orientation</w:t>
      </w:r>
    </w:p>
    <w:p>
      <w:pPr>
        <w:pStyle w:val="Normal"/>
        <w:spacing w:after="200" w:line="276" w:lineRule="auto"/>
      </w:pPr>
      <w:r>
        <w:rPr>
          <w:sz w:val="24"/>
        </w:rPr>
        <w:t xml:space="preserve">Display Image Histogram</w:t>
      </w:r>
    </w:p>
    <w:p>
      <w:pPr>
        <w:pStyle w:val="Normal"/>
        <w:spacing w:after="200" w:line="276" w:lineRule="auto"/>
      </w:pPr>
      <w:r>
        <w:rPr>
          <w:sz w:val="24"/>
        </w:rPr>
        <w:t xml:space="preserve">Select the Histogram Image checkbox to enable computing and displaying a histogram over the whole image</w:t>
      </w:r>
    </w:p>
    <w:p>
      <w:pPr>
        <w:pStyle w:val="Normal"/>
        <w:spacing w:after="200" w:line="276" w:lineRule="auto"/>
      </w:pPr>
      <w:r>
        <w:rPr>
          <w:sz w:val="24"/>
        </w:rPr>
        <w:t xml:space="preserve">Select the Histogram Area checkbox to enable computing and displaying a histogram over a user selectable region of interest</w:t>
      </w:r>
    </w:p>
    <w:p>
      <w:pPr>
        <w:pStyle w:val="Normal"/>
        <w:spacing w:after="200" w:line="276" w:lineRule="auto"/>
      </w:pPr>
      <w:r>
        <w:rPr>
          <w:sz w:val="24"/>
        </w:rPr>
        <w:t xml:space="preserve">Figure  SEQ Figure \* ARABIC 46 OVR – Image Histogram</w:t>
      </w:r>
    </w:p>
    <w:p>
      <w:pPr>
        <w:pStyle w:val="Normal"/>
        <w:spacing w:after="200" w:line="276" w:lineRule="auto"/>
      </w:pPr>
      <w:r>
        <w:rPr>
          <w:sz w:val="24"/>
        </w:rPr>
        <w:t xml:space="preserve">Freeze Image</w:t>
      </w:r>
    </w:p>
    <w:p>
      <w:pPr>
        <w:pStyle w:val="Normal"/>
        <w:spacing w:after="200" w:line="276" w:lineRule="auto"/>
      </w:pPr>
      <w:r>
        <w:rPr>
          <w:sz w:val="24"/>
        </w:rPr>
        <w:t xml:space="preserve">Select Freeze checkbox, to freeze image currently displayed in Overview.</w:t>
      </w:r>
    </w:p>
    <w:p>
      <w:pPr>
        <w:pStyle w:val="Normal"/>
        <w:spacing w:after="200" w:line="276" w:lineRule="auto"/>
      </w:pPr>
      <w:r>
        <w:rPr>
          <w:sz w:val="24"/>
        </w:rPr>
        <w:t xml:space="preserve">Figure  SEQ Figure \* ARABIC 47 OVR Freeze Image</w:t>
      </w:r>
    </w:p>
    <w:p>
      <w:pPr>
        <w:pStyle w:val="Normal"/>
        <w:spacing w:after="200" w:line="276" w:lineRule="auto"/>
      </w:pPr>
      <w:r>
        <w:rPr>
          <w:sz w:val="24"/>
        </w:rPr>
        <w:t xml:space="preserve">Clear Image</w:t>
      </w:r>
    </w:p>
    <w:p>
      <w:pPr>
        <w:pStyle w:val="Normal"/>
        <w:spacing w:after="200" w:line="276" w:lineRule="auto"/>
      </w:pPr>
      <w:r>
        <w:rPr>
          <w:sz w:val="24"/>
        </w:rPr>
        <w:t xml:space="preserve">Left-click Clear button to erase image displayed in Overview.</w:t>
      </w:r>
    </w:p>
    <w:p>
      <w:pPr>
        <w:pStyle w:val="Normal"/>
        <w:spacing w:after="200" w:line="276" w:lineRule="auto"/>
      </w:pPr>
      <w:r>
        <w:rPr>
          <w:sz w:val="24"/>
        </w:rPr>
        <w:t xml:space="preserve">Figure  SEQ Figure \* ARABIC 48 OVR Clear Image</w:t>
      </w:r>
    </w:p>
    <w:p>
      <w:pPr>
        <w:pStyle w:val="Normal"/>
        <w:spacing w:after="200" w:line="276" w:lineRule="auto"/>
      </w:pPr>
      <w:r>
        <w:rPr>
          <w:sz w:val="24"/>
        </w:rPr>
        <w:t xml:space="preserve">High Resolution Display (HRD)</w:t>
      </w:r>
    </w:p>
    <w:p>
      <w:pPr>
        <w:pStyle w:val="Normal"/>
        <w:spacing w:after="200" w:line="276" w:lineRule="auto"/>
      </w:pPr>
      <w:r>
        <w:rPr>
          <w:sz w:val="24"/>
        </w:rPr>
        <w:t xml:space="preserve">Scale Image</w:t>
      </w:r>
    </w:p>
    <w:p>
      <w:pPr>
        <w:pStyle w:val="Normal"/>
        <w:spacing w:after="200" w:line="276" w:lineRule="auto"/>
      </w:pPr>
      <w:r>
        <w:rPr>
          <w:sz w:val="24"/>
        </w:rPr>
        <w:t xml:space="preserve">Figure  SEQ Figure \* ARABIC 49 HRD – Scale Image</w:t>
      </w:r>
    </w:p>
    <w:p>
      <w:pPr>
        <w:pStyle w:val="Normal"/>
        <w:spacing w:after="200" w:line="276" w:lineRule="auto"/>
      </w:pPr>
      <w:r>
        <w:rPr>
          <w:sz w:val="24"/>
        </w:rPr>
        <w:t xml:space="preserve">Figure  SEQ Figure \* ARABIC 50 HRD Image Brightness and Contrast</w:t>
      </w:r>
    </w:p>
    <w:p>
      <w:pPr>
        <w:pStyle w:val="Normal"/>
        <w:spacing w:after="200" w:line="276" w:lineRule="auto"/>
      </w:pPr>
      <w:r>
        <w:rPr>
          <w:sz w:val="24"/>
        </w:rPr>
        <w:t xml:space="preserve">Left-click Tools tab, then</w:t>
      </w:r>
    </w:p>
    <w:p>
      <w:pPr>
        <w:pStyle w:val="Normal"/>
        <w:spacing w:after="200" w:line="276" w:lineRule="auto"/>
      </w:pPr>
      <w:r>
        <w:rPr>
          <w:sz w:val="24"/>
        </w:rPr>
        <w:t xml:space="preserve">Select North Arrow checkbox to enable North Arrow.</w:t>
      </w:r>
    </w:p>
    <w:p>
      <w:pPr>
        <w:pStyle w:val="Normal"/>
        <w:spacing w:after="200" w:line="276" w:lineRule="auto"/>
      </w:pPr>
      <w:r>
        <w:rPr>
          <w:sz w:val="24"/>
        </w:rPr>
        <w:t xml:space="preserve">Deselect the checkbox to disable North Arrow.</w:t>
      </w:r>
    </w:p>
    <w:p>
      <w:pPr>
        <w:pStyle w:val="Normal"/>
        <w:spacing w:after="200" w:line="276" w:lineRule="auto"/>
      </w:pPr>
      <w:r>
        <w:rPr>
          <w:sz w:val="24"/>
        </w:rPr>
        <w:t xml:space="preserve">Figure  SEQ Figure \* ARABIC 51 HRD – North Arrow</w:t>
      </w:r>
    </w:p>
    <w:p>
      <w:pPr>
        <w:pStyle w:val="Normal"/>
        <w:spacing w:after="200" w:line="276" w:lineRule="auto"/>
      </w:pPr>
      <w:r>
        <w:rPr>
          <w:sz w:val="24"/>
        </w:rPr>
        <w:t xml:space="preserve">Select Rotate 180° Up, to reorient the image such that there is a 180° rotation.</w:t>
      </w:r>
    </w:p>
    <w:p>
      <w:pPr>
        <w:pStyle w:val="Normal"/>
        <w:spacing w:after="200" w:line="276" w:lineRule="auto"/>
      </w:pPr>
      <w:r>
        <w:rPr>
          <w:sz w:val="24"/>
        </w:rPr>
        <w:t xml:space="preserve">Select Rotate 0° Up, to reorient the image such that image has no rotation angle applied.</w:t>
      </w:r>
    </w:p>
    <w:p>
      <w:pPr>
        <w:pStyle w:val="Normal"/>
        <w:spacing w:after="200" w:line="276" w:lineRule="auto"/>
      </w:pPr>
      <w:r>
        <w:rPr>
          <w:sz w:val="24"/>
        </w:rPr>
        <w:t xml:space="preserve">Figure  SEQ Figure \* ARABIC 52 HRD – Image Orientation</w:t>
      </w:r>
    </w:p>
    <w:p>
      <w:pPr>
        <w:pStyle w:val="Normal"/>
        <w:spacing w:after="200" w:line="276" w:lineRule="auto"/>
      </w:pPr>
      <w:r>
        <w:rPr>
          <w:sz w:val="24"/>
        </w:rPr>
        <w:t xml:space="preserve">Select Histogram Image checkbox to enable computing and displaying a histogram over the whole image</w:t>
      </w:r>
    </w:p>
    <w:p>
      <w:pPr>
        <w:pStyle w:val="Normal"/>
        <w:spacing w:after="200" w:line="276" w:lineRule="auto"/>
      </w:pPr>
      <w:r>
        <w:rPr>
          <w:sz w:val="24"/>
        </w:rPr>
        <w:t xml:space="preserve">Select Histogram Area checkbox to enable computing and displaying a histogram over a user selectable region of interest</w:t>
      </w:r>
    </w:p>
    <w:p>
      <w:pPr>
        <w:pStyle w:val="Normal"/>
        <w:spacing w:after="200" w:line="276" w:lineRule="auto"/>
      </w:pPr>
      <w:r>
        <w:rPr>
          <w:sz w:val="24"/>
        </w:rPr>
        <w:t xml:space="preserve">Figure  SEQ Figure \* ARABIC 53 HRD – Image Histogram</w:t>
      </w:r>
    </w:p>
    <w:p>
      <w:pPr>
        <w:pStyle w:val="Normal"/>
        <w:spacing w:after="200" w:line="276" w:lineRule="auto"/>
      </w:pPr>
      <w:r>
        <w:rPr>
          <w:sz w:val="24"/>
        </w:rPr>
        <w:t xml:space="preserve">Left-click Clear button to erase image currently displayed on HRD.</w:t>
      </w:r>
    </w:p>
    <w:p>
      <w:pPr>
        <w:jc w:val="center"/>
        <w:spacing w:before="240" w:after="120"/>
      </w:pPr>
      <w:r>
        <w:drawing>
          <wp:inline xmlns:wp="http://schemas.openxmlformats.org/drawingml/2006/wordprocessingDrawing" distT="0" distB="0" distL="0" distR="0">
            <wp:extent cx="1473517" cy="2420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f7cc90d177e14461" cstate="print"/>
                    <a:stretch>
                      <a:fillRect/>
                    </a:stretch>
                  </pic:blipFill>
                  <pic:spPr>
                    <a:xfrm>
                      <a:off x="0" y="0"/>
                      <a:ext cx="1473517" cy="2420778"/>
                    </a:xfrm>
                    <a:prstGeom prst="rect">
                      <a:avLst/>
                    </a:prstGeom>
                  </pic:spPr>
                </pic:pic>
              </a:graphicData>
            </a:graphic>
          </wp:inline>
        </w:drawing>
      </w:r>
    </w:p>
    <w:p>
      <w:pPr>
        <w:pStyle w:val="ImageCaption"/>
        <w:jc w:val="center"/>
        <w:spacing w:before="120" w:after="240"/>
      </w:pPr>
      <w:r>
        <w:rPr>
          <w:sz w:val="22"/>
        </w:rPr>
        <w:t>Figure Caption</w:t>
      </w:r>
    </w:p>
    <w:p>
      <w:pPr>
        <w:jc w:val="center"/>
        <w:spacing w:before="240" w:after="120"/>
      </w:pPr>
      <w:r>
        <w:drawing>
          <wp:inline xmlns:wp="http://schemas.openxmlformats.org/drawingml/2006/wordprocessingDrawing" distT="0" distB="0" distL="0" distR="0">
            <wp:extent cx="2773680" cy="86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34c536989ba84d92" cstate="print"/>
                    <a:stretch>
                      <a:fillRect/>
                    </a:stretch>
                  </pic:blipFill>
                  <pic:spPr>
                    <a:xfrm>
                      <a:off x="0" y="0"/>
                      <a:ext cx="2773680" cy="860583"/>
                    </a:xfrm>
                    <a:prstGeom prst="rect">
                      <a:avLst/>
                    </a:prstGeom>
                  </pic:spPr>
                </pic:pic>
              </a:graphicData>
            </a:graphic>
          </wp:inline>
        </w:drawing>
      </w:r>
    </w:p>
    <w:p>
      <w:pPr>
        <w:pStyle w:val="ImageCaption"/>
        <w:jc w:val="center"/>
        <w:spacing w:before="120" w:after="240"/>
      </w:pPr>
      <w:r>
        <w:rPr>
          <w:sz w:val="22"/>
        </w:rPr>
        <w:t>Figure 41 OVR – Scale Image</w:t>
      </w:r>
    </w:p>
    <w:p>
      <w:pPr>
        <w:jc w:val="center"/>
        <w:spacing w:before="240" w:after="120"/>
      </w:pPr>
      <w:r>
        <w:drawing>
          <wp:inline xmlns:wp="http://schemas.openxmlformats.org/drawingml/2006/wordprocessingDrawing" distT="0" distB="0" distL="0" distR="0">
            <wp:extent cx="2105025" cy="1250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b1c0a67022534c67" cstate="print"/>
                    <a:stretch>
                      <a:fillRect/>
                    </a:stretch>
                  </pic:blipFill>
                  <pic:spPr>
                    <a:xfrm>
                      <a:off x="0" y="0"/>
                      <a:ext cx="2105025" cy="1250632"/>
                    </a:xfrm>
                    <a:prstGeom prst="rect">
                      <a:avLst/>
                    </a:prstGeom>
                  </pic:spPr>
                </pic:pic>
              </a:graphicData>
            </a:graphic>
          </wp:inline>
        </w:drawing>
      </w:r>
    </w:p>
    <w:p>
      <w:pPr>
        <w:pStyle w:val="ImageCaption"/>
        <w:jc w:val="center"/>
        <w:spacing w:before="120" w:after="240"/>
      </w:pPr>
      <w:r>
        <w:rPr>
          <w:sz w:val="22"/>
        </w:rPr>
        <w:t>Figure 45 OVR – Image Orientation</w:t>
      </w:r>
    </w:p>
    <w:p>
      <w:pPr>
        <w:jc w:val="center"/>
        <w:spacing w:before="240" w:after="120"/>
      </w:pPr>
      <w:r>
        <w:drawing>
          <wp:inline xmlns:wp="http://schemas.openxmlformats.org/drawingml/2006/wordprocessingDrawing" distT="0" distB="0" distL="0" distR="0">
            <wp:extent cx="3008947" cy="934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1deac586640a4cf9" cstate="print"/>
                    <a:stretch>
                      <a:fillRect/>
                    </a:stretch>
                  </pic:blipFill>
                  <pic:spPr>
                    <a:xfrm>
                      <a:off x="0" y="0"/>
                      <a:ext cx="3008947" cy="934878"/>
                    </a:xfrm>
                    <a:prstGeom prst="rect">
                      <a:avLst/>
                    </a:prstGeom>
                  </pic:spPr>
                </pic:pic>
              </a:graphicData>
            </a:graphic>
          </wp:inline>
        </w:drawing>
      </w:r>
    </w:p>
    <w:p>
      <w:pPr>
        <w:pStyle w:val="ImageCaption"/>
        <w:jc w:val="center"/>
        <w:spacing w:before="120" w:after="240"/>
      </w:pPr>
      <w:r>
        <w:rPr>
          <w:sz w:val="22"/>
        </w:rPr>
        <w:t>Figure 49 HRD – Scale Image</w:t>
      </w:r>
    </w:p>
    <w:p>
      <w:pPr>
        <w:jc w:val="center"/>
        <w:spacing w:before="240" w:after="120"/>
      </w:pPr>
      <w:r>
        <w:drawing>
          <wp:inline xmlns:wp="http://schemas.openxmlformats.org/drawingml/2006/wordprocessingDrawing" distT="0" distB="0" distL="0" distR="0">
            <wp:extent cx="1219676" cy="903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28c69ade7e764458" cstate="print"/>
                    <a:stretch>
                      <a:fillRect/>
                    </a:stretch>
                  </pic:blipFill>
                  <pic:spPr>
                    <a:xfrm>
                      <a:off x="0" y="0"/>
                      <a:ext cx="1219676" cy="903922"/>
                    </a:xfrm>
                    <a:prstGeom prst="rect">
                      <a:avLst/>
                    </a:prstGeom>
                  </pic:spPr>
                </pic:pic>
              </a:graphicData>
            </a:graphic>
          </wp:inline>
        </w:drawing>
      </w:r>
    </w:p>
    <w:p>
      <w:pPr>
        <w:pStyle w:val="ImageCaption"/>
        <w:jc w:val="center"/>
        <w:spacing w:before="120" w:after="240"/>
      </w:pPr>
      <w:r>
        <w:rPr>
          <w:sz w:val="22"/>
        </w:rPr>
        <w:t>Figure 51 HRD – North Arrow</w:t>
      </w:r>
    </w:p>
    <w:p>
      <w:pPr>
        <w:jc w:val="center"/>
        <w:spacing w:before="240" w:after="120"/>
      </w:pPr>
      <w:r>
        <w:drawing>
          <wp:inline xmlns:wp="http://schemas.openxmlformats.org/drawingml/2006/wordprocessingDrawing" distT="0" distB="0" distL="0" distR="0">
            <wp:extent cx="2259806" cy="1207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1a21601e45e94dc4" cstate="print"/>
                    <a:stretch>
                      <a:fillRect/>
                    </a:stretch>
                  </pic:blipFill>
                  <pic:spPr>
                    <a:xfrm>
                      <a:off x="0" y="0"/>
                      <a:ext cx="2259806" cy="1207293"/>
                    </a:xfrm>
                    <a:prstGeom prst="rect">
                      <a:avLst/>
                    </a:prstGeom>
                  </pic:spPr>
                </pic:pic>
              </a:graphicData>
            </a:graphic>
          </wp:inline>
        </w:drawing>
      </w:r>
    </w:p>
    <w:p>
      <w:pPr>
        <w:pStyle w:val="ImageCaption"/>
        <w:jc w:val="center"/>
        <w:spacing w:before="120" w:after="240"/>
      </w:pPr>
      <w:r>
        <w:rPr>
          <w:sz w:val="22"/>
        </w:rPr>
        <w:t>Figure 52 HRD – Image Orientation</w:t>
      </w:r>
    </w:p>
    <w:p>
      <w:pPr>
        <w:pStyle w:val="Heading4"/>
        <w:jc w:val="left"/>
        <w:spacing w:before="240" w:after="0"/>
      </w:pPr>
      <w:r>
        <w:rPr>
          <w:b/>
        </w:rPr>
        <w:t>Mission Definition</w:t>
      </w:r>
    </w:p>
    <w:p>
      <w:pPr>
        <w:pStyle w:val="Normal"/>
        <w:spacing w:after="200" w:line="276" w:lineRule="auto"/>
      </w:pPr>
      <w:r>
        <w:rPr>
          <w:sz w:val="24"/>
        </w:rPr>
        <w:t xml:space="preserve">Select Uplink &gt; Mission Definition</w:t>
      </w:r>
    </w:p>
    <w:p>
      <w:pPr>
        <w:pStyle w:val="Normal"/>
        <w:spacing w:after="200" w:line="276" w:lineRule="auto"/>
      </w:pPr>
      <w:r>
        <w:rPr>
          <w:sz w:val="24"/>
        </w:rPr>
        <w:t xml:space="preserve">Figure  SEQ Figure \* ARABIC 54 SCWS System Control Mission Definition</w:t>
      </w:r>
    </w:p>
    <w:p>
      <w:pPr>
        <w:pStyle w:val="Normal"/>
        <w:spacing w:after="200" w:line="276" w:lineRule="auto"/>
      </w:pPr>
      <w:r>
        <w:rPr>
          <w:sz w:val="24"/>
        </w:rPr>
        <w:t xml:space="preserve">When prompted with pop-up, enter mission ID then left-click OK to uplink. Otherwise, left-click Cancel</w:t>
      </w:r>
    </w:p>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
            </w:r>
          </w:p>
        </w:tc>
        <w:tc>
          <w:tcPr>
            <w:tcW w:type="auto"/>
          </w:tcPr>
          <w:p>
            <w:pPr>
              <w:pStyle w:val="TableContents"/>
            </w:pPr>
            <w:r>
              <w:rPr>
                <w:sz w:val="22"/>
                <w:b/>
              </w:rPr>
              <w:t xml:space="preserve"> Figure  SEQ Figure \* ARABIC 55 SCWS System Control Mission Definition ID Dialog</w:t>
            </w:r>
          </w:p>
        </w:tc>
      </w:tr>
    </w:tbl>
    <w:p>
      <w:pPr>
        <w:pStyle w:val="Heading4"/>
        <w:jc w:val="left"/>
        <w:spacing w:before="240" w:after="0"/>
      </w:pPr>
      <w:r>
        <w:rPr>
          <w:b/>
        </w:rPr>
        <w:t/>
      </w:r>
    </w:p>
    <w:p>
      <w:pPr>
        <w:pStyle w:val="Heading4"/>
        <w:jc w:val="left"/>
        <w:spacing w:before="240" w:after="0"/>
      </w:pPr>
      <w:r>
        <w:rPr>
          <w:b/>
        </w:rPr>
        <w:t>Uplink OBP Commands</w:t>
      </w:r>
    </w:p>
    <w:p>
      <w:pPr>
        <w:pStyle w:val="Normal"/>
        <w:spacing w:after="200" w:line="276" w:lineRule="auto"/>
      </w:pPr>
      <w:r>
        <w:rPr>
          <w:sz w:val="24"/>
        </w:rPr>
        <w:t xml:space="preserve">The Uplink OBP menu selection provides the operator with the capability to issue commands and communicate with the OBP.</w:t>
      </w:r>
    </w:p>
    <w:p>
      <w:pPr>
        <w:pStyle w:val="Normal"/>
        <w:spacing w:after="200" w:line="276" w:lineRule="auto"/>
      </w:pPr>
      <w:r>
        <w:rPr>
          <w:sz w:val="24"/>
        </w:rPr>
        <w:t xml:space="preserve">Stop/Start Processing</w:t>
      </w:r>
    </w:p>
    <w:p>
      <w:pPr>
        <w:pStyle w:val="Normal"/>
        <w:spacing w:after="200" w:line="276" w:lineRule="auto"/>
      </w:pPr>
      <w:r>
        <w:rPr>
          <w:sz w:val="24"/>
        </w:rPr>
        <w:t xml:space="preserve">Uplink Stop Processing will disable the OBP from processing any scenes. For scenes set to record in NITF, no data will be recorded. Uplink Start Processing will re-enable OBP processing. Stop/Start Processing is a test function and is not used during operational missions.</w:t>
      </w:r>
    </w:p>
    <w:p>
      <w:pPr>
        <w:pStyle w:val="Normal"/>
        <w:spacing w:after="200" w:line="276" w:lineRule="auto"/>
      </w:pPr>
      <w:r>
        <w:rPr>
          <w:sz w:val="24"/>
        </w:rPr>
        <w:t xml:space="preserve">Stop/Start Data Collection</w:t>
      </w:r>
    </w:p>
    <w:p>
      <w:pPr>
        <w:pStyle w:val="Normal"/>
        <w:spacing w:after="200" w:line="276" w:lineRule="auto"/>
      </w:pPr>
      <w:r>
        <w:rPr>
          <w:sz w:val="24"/>
        </w:rPr>
        <w:t xml:space="preserve">Uplink Stop Data Collection will prevent the REC from collecting any VPH/AUX. No scenes can be processed and no data recorded. Uplink Start Data Collection will re-enable REC data collection. Stop/Start Data Collection is a test function and is not used during operational missions.</w:t>
      </w:r>
    </w:p>
    <w:p>
      <w:pPr>
        <w:pStyle w:val="Normal"/>
        <w:spacing w:after="200" w:line="276" w:lineRule="auto"/>
      </w:pPr>
      <w:r>
        <w:rPr>
          <w:sz w:val="24"/>
        </w:rPr>
        <w:t xml:space="preserve">Remap CE</w:t>
      </w:r>
    </w:p>
    <w:p>
      <w:pPr>
        <w:pStyle w:val="Normal"/>
        <w:spacing w:after="200" w:line="276" w:lineRule="auto"/>
      </w:pPr>
      <w:r>
        <w:rPr>
          <w:sz w:val="24"/>
        </w:rPr>
        <w:t xml:space="preserve">A request for OBP CE Remap is uplinked to the ARS to remap a failed CE processor. If multiple OBP reboots are occurring or multiple scenes aborting, a CE remap may be needed to resolve the issue. When a particular CE # (or SP #) reports multiple problems, try using CE Remap.</w:t>
      </w:r>
    </w:p>
    <w:p>
      <w:pPr>
        <w:pStyle w:val="Normal"/>
        <w:spacing w:after="200" w:line="276" w:lineRule="auto"/>
      </w:pPr>
      <w:r>
        <w:rPr>
          <w:sz w:val="24"/>
        </w:rPr>
        <w:t xml:space="preserve">Reinitialize</w:t>
      </w:r>
    </w:p>
    <w:p>
      <w:pPr>
        <w:pStyle w:val="Normal"/>
        <w:spacing w:after="200" w:line="276" w:lineRule="auto"/>
      </w:pPr>
      <w:r>
        <w:rPr>
          <w:sz w:val="24"/>
        </w:rPr>
        <w:t xml:space="preserve">A reinitialize command is uplinked to the ARS when OBP integrity is questionable. The OBP can be reinitialized via uplink or CDU Reset 61. Reinitialize is used to clear a hung OBP process, reload SW, or remap a CE.</w:t>
      </w:r>
    </w:p>
    <w:p>
      <w:pPr>
        <w:pStyle w:val="Normal"/>
        <w:spacing w:after="200" w:line="276" w:lineRule="auto"/>
      </w:pPr>
      <w:r>
        <w:rPr>
          <w:sz w:val="24"/>
        </w:rPr>
        <w:t xml:space="preserve">Record ARS Messages</w:t>
      </w:r>
    </w:p>
    <w:p>
      <w:pPr>
        <w:pStyle w:val="Normal"/>
        <w:spacing w:after="200" w:line="276" w:lineRule="auto"/>
      </w:pPr>
      <w:r>
        <w:rPr>
          <w:sz w:val="24"/>
        </w:rPr>
        <w:t xml:space="preserve">Uplink Record ARS Messages will enable/disable the recording of all ARS Messages to the SSA. ARS messages are recorded by default, ARS Messages are the same as messages downlinked to the DGS sites and displayed in the ARS Ground Message window. Record ARS Message is primarily a test feature. ARS Messages should always be recorded.</w:t>
      </w:r>
    </w:p>
    <w:p>
      <w:pPr>
        <w:pStyle w:val="Normal"/>
        <w:spacing w:after="200" w:line="276" w:lineRule="auto"/>
      </w:pPr>
      <w:r>
        <w:rPr>
          <w:sz w:val="24"/>
        </w:rPr>
        <w:t xml:space="preserve">Spot Apodization</w:t>
      </w:r>
    </w:p>
    <w:p>
      <w:pPr>
        <w:pStyle w:val="Normal"/>
        <w:spacing w:after="200" w:line="276" w:lineRule="auto"/>
      </w:pPr>
      <w:r>
        <w:rPr>
          <w:sz w:val="24"/>
        </w:rPr>
        <w:t xml:space="preserve">Turning off Spot Apodization will cause Spot- 1A and Spot-3A detected imagery to be Taylor Weighted. Taylor weighting is another form of sidelobe suppression. The current system is designed to specifications with Spot Apodization turned on. Spot Apodization should not be disabled except in special cases.</w:t>
      </w:r>
    </w:p>
    <w:p>
      <w:pPr>
        <w:pStyle w:val="Normal"/>
        <w:spacing w:after="200" w:line="276" w:lineRule="auto"/>
      </w:pPr>
      <w:r>
        <w:rPr>
          <w:sz w:val="24"/>
        </w:rPr>
        <w:t xml:space="preserve">Request Processing Options</w:t>
      </w:r>
    </w:p>
    <w:p>
      <w:pPr>
        <w:pStyle w:val="Normal"/>
        <w:spacing w:after="200" w:line="276" w:lineRule="auto"/>
      </w:pPr>
      <w:r>
        <w:rPr>
          <w:sz w:val="24"/>
        </w:rPr>
        <w:t xml:space="preserve">A request for Processing Options is uplinked to the ARS to get the current state of ARS processing Options downlinked to the DGS. Request Processing Options is a test feature that should not be used tactically.</w:t>
      </w:r>
    </w:p>
    <w:p>
      <w:pPr>
        <w:pStyle w:val="Normal"/>
        <w:spacing w:after="200" w:line="276" w:lineRule="auto"/>
      </w:pPr>
      <w:r>
        <w:rPr>
          <w:sz w:val="24"/>
        </w:rPr>
        <w:t xml:space="preserve">Terminate</w:t>
      </w:r>
    </w:p>
    <w:p>
      <w:pPr>
        <w:pStyle w:val="Normal"/>
        <w:spacing w:after="200" w:line="276" w:lineRule="auto"/>
      </w:pPr>
      <w:r>
        <w:rPr>
          <w:sz w:val="24"/>
        </w:rPr>
        <w:t xml:space="preserve">The Terminate command is uplinked to the ARS to safely shutdown the OBP at the end of a mission. The OBP can be terminated via uplink or CDU Reset 60. Terminate is used at the end of every mission or power cycle.</w:t>
      </w:r>
    </w:p>
    <w:p>
      <w:pPr>
        <w:pStyle w:val="Normal"/>
        <w:spacing w:after="200" w:line="276" w:lineRule="auto"/>
      </w:pPr>
      <w:r>
        <w:rPr>
          <w:sz w:val="24"/>
        </w:rPr>
        <w:t xml:space="preserve">Request ARS Logs</w:t>
      </w:r>
    </w:p>
    <w:p>
      <w:pPr>
        <w:pStyle w:val="Normal"/>
        <w:spacing w:after="200" w:line="276" w:lineRule="auto"/>
      </w:pPr>
      <w:r>
        <w:rPr>
          <w:sz w:val="24"/>
        </w:rPr>
        <w:t xml:space="preserve">A Request for ARS Logs is uplinked to the ARS to get the ARS log files downlinked to the DGS. Log files (including run and PCU logs) contain very detailed system information. The data is used for field troubleshooting and evaluation by engineering personnel. ARS Logs may be requested whenever more information is needed (example: an issue during a mission).</w:t>
      </w:r>
    </w:p>
    <w:p>
      <w:pPr>
        <w:pStyle w:val="Normal"/>
        <w:spacing w:after="200" w:line="276" w:lineRule="auto"/>
      </w:pPr>
      <w:r>
        <w:rPr>
          <w:sz w:val="24"/>
        </w:rPr>
        <w:t xml:space="preserve">Request Test Image</w:t>
      </w:r>
    </w:p>
    <w:p>
      <w:pPr>
        <w:pStyle w:val="Normal"/>
        <w:spacing w:after="200" w:line="276" w:lineRule="auto"/>
      </w:pPr>
      <w:r>
        <w:rPr>
          <w:sz w:val="24"/>
        </w:rPr>
        <w:t xml:space="preserve">The Request Test Image command will cause the OBP to play back a reference Spot-1A scene of both detected and complex NITF tiles to ensure no image quality degradation due to compression/decompression, BIT errors, or other problems during transmission of NITF tiles from the aircraft to the exploitation location. Request Test Image is used to test the integrity of the imagery downlink path. The downlinked test image is compared against a reference copy on the DGS.</w:t>
      </w:r>
    </w:p>
    <w:p>
      <w:pPr>
        <w:pStyle w:val="Normal"/>
        <w:spacing w:after="200" w:line="276" w:lineRule="auto"/>
      </w:pPr>
      <w:r>
        <w:rPr>
          <w:sz w:val="24"/>
        </w:rPr>
        <w:t xml:space="preserve">Remote OBP Access, Logs, and Commands</w:t>
      </w:r>
    </w:p>
    <w:p>
      <w:pPr>
        <w:pStyle w:val="Normal"/>
        <w:spacing w:after="200" w:line="276" w:lineRule="auto"/>
      </w:pPr>
      <w:r>
        <w:rPr>
          <w:sz w:val="24"/>
        </w:rPr>
        <w:t xml:space="preserve">In addition to information and control provided by the SCWS and the CSP, remote access of the OBP allows for further status monitoring and system control. A variety of commands can be executed in addition to regular UNIX commands. A list of commonly used commands and a brief description of their functionality is provided in the table below. These commands can be executed from any directory in the OBP.</w:t>
      </w:r>
    </w:p>
    <w:p>
      <w:pPr>
        <w:pStyle w:val="Normal"/>
        <w:spacing w:after="200" w:line="276" w:lineRule="auto"/>
      </w:pPr>
      <w:r>
        <w:rPr>
          <w:sz w:val="24"/>
        </w:rPr>
        <w:t xml:space="preserve">Log into the OBP from a command tool window:</w:t>
      </w:r>
    </w:p>
    <w:p>
      <w:pPr>
        <w:pStyle w:val="Normal"/>
        <w:spacing w:after="200" w:line="276" w:lineRule="auto"/>
      </w:pPr>
      <w:r>
        <w:rPr>
          <w:sz w:val="24"/>
        </w:rPr>
        <w:t xml:space="preserve">% rlogin –l obp obpXX(where XX = OBP serial number… or use IP address in place of obpXX)</w:t>
      </w:r>
    </w:p>
    <w:p>
      <w:pPr>
        <w:pStyle w:val="Normal"/>
        <w:spacing w:after="200" w:line="276" w:lineRule="auto"/>
      </w:pPr>
      <w:r>
        <w:rPr>
          <w:sz w:val="24"/>
        </w:rPr>
        <w:t xml:space="preserve">Enter the appropriate password.</w:t>
      </w:r>
    </w:p>
    <w:p>
      <w:pPr>
        <w:pStyle w:val="Normal"/>
        <w:spacing w:after="200" w:line="276" w:lineRule="auto"/>
      </w:pPr>
      <w:r>
        <w:rPr>
          <w:sz w:val="24"/>
        </w:rPr>
        <w:t xml:space="preserve">Type applicable OBP command(s) listed in Table 4.</w:t>
      </w:r>
    </w:p>
    <w:p>
      <w:pPr>
        <w:pStyle w:val="Normal"/>
        <w:spacing w:after="200" w:line="276" w:lineRule="auto"/>
      </w:pPr>
      <w:r>
        <w:rPr>
          <w:sz w:val="24"/>
        </w:rPr>
        <w:t xml:space="preserve">Table  SEQ Table \* ARABIC 5 OBP Commonly Used Commands</w:t>
      </w:r>
    </w:p>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Stop/Start Processing. </w:t>
            </w:r>
          </w:p>
        </w:tc>
        <w:tc>
          <w:tcPr>
            <w:tcW w:type="auto"/>
          </w:tcPr>
          <w:p>
            <w:pPr>
              <w:pStyle w:val="TableContents"/>
            </w:pPr>
            <w:r>
              <w:rPr>
                <w:sz w:val="22"/>
                <w:b/>
              </w:rPr>
              <w:t xml:space="preserve"> Figure  SEQ Figure \* ARABIC 56 SCWS Uplink OBP Start/Stop Processing</w:t>
            </w:r>
          </w:p>
        </w:tc>
      </w:tr>
      <w:tr>
        <w:tc>
          <w:tcPr>
            <w:tcW w:type="auto"/>
          </w:tcPr>
          <w:p>
            <w:pPr>
              <w:pStyle w:val="TableContents"/>
            </w:pPr>
            <w:r>
              <w:rPr>
                <w:sz w:val="22"/>
              </w:rPr>
              <w:t xml:space="preserve">The Processing Toggle Dialog box appears. Processing check box Checked to start processing Unchecked to stop processing  Then, Select OK to Stop/Start Processing and close the dialog box. Select Apply to Stop/Start Processing and leave the dialog box open. Select Cancel to close the dialog box without Stop/Start Processing.</w:t>
            </w:r>
          </w:p>
        </w:tc>
        <w:tc>
          <w:tcPr>
            <w:tcW w:type="auto"/>
          </w:tcPr>
          <w:p>
            <w:pPr>
              <w:pStyle w:val="TableContents"/>
            </w:pPr>
            <w:r>
              <w:rPr>
                <w:sz w:val="22"/>
              </w:rPr>
              <w:t xml:space="preserve">  Figure  SEQ Figure \* ARABIC 57 SCWS Uplink Processing Toggle</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Stop/Start Data Collection. </w:t>
            </w:r>
          </w:p>
        </w:tc>
        <w:tc>
          <w:tcPr>
            <w:tcW w:type="auto"/>
          </w:tcPr>
          <w:p>
            <w:pPr>
              <w:pStyle w:val="TableContents"/>
            </w:pPr>
            <w:r>
              <w:rPr>
                <w:sz w:val="22"/>
                <w:b/>
              </w:rPr>
              <w:t xml:space="preserve"> Figure  SEQ Figure \* ARABIC 58 SCWS Uplink OBP Start/Stop Collection</w:t>
            </w:r>
          </w:p>
        </w:tc>
      </w:tr>
      <w:tr>
        <w:tc>
          <w:tcPr>
            <w:tcW w:type="auto"/>
          </w:tcPr>
          <w:p>
            <w:pPr>
              <w:pStyle w:val="TableContents"/>
            </w:pPr>
            <w:r>
              <w:rPr>
                <w:sz w:val="22"/>
              </w:rPr>
              <w:t xml:space="preserve">The Collect Data Toggle Dialog box appears. Collect Data check box Checked to Start Data Collection Unchecked to Stop Data Collection Finally, Select OK to Stop/Start Data Collection and close the dialog box. Select Apply to start Data Collection and leave the dialog box open. Select Cancel to close the box without Stop/Start Data Collection.</w:t>
            </w:r>
          </w:p>
        </w:tc>
        <w:tc>
          <w:tcPr>
            <w:tcW w:type="auto"/>
          </w:tcPr>
          <w:p>
            <w:pPr>
              <w:pStyle w:val="TableContents"/>
            </w:pPr>
            <w:r>
              <w:rPr>
                <w:sz w:val="22"/>
              </w:rPr>
              <w:t xml:space="preserve">  Figure  SEQ Figure \* ARABIC 59 SCWS Uplink OBP Start/Stop Collection Toggle</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Remap CE. </w:t>
            </w:r>
          </w:p>
        </w:tc>
        <w:tc>
          <w:tcPr>
            <w:tcW w:type="auto"/>
          </w:tcPr>
          <w:p>
            <w:pPr>
              <w:pStyle w:val="TableContents"/>
            </w:pPr>
            <w:r>
              <w:rPr>
                <w:sz w:val="22"/>
                <w:b/>
              </w:rPr>
              <w:t xml:space="preserve"> Figure  SEQ Figure \* ARABIC 60 SCWS Uplink OBP Remap CE</w:t>
            </w:r>
          </w:p>
        </w:tc>
      </w:tr>
      <w:tr>
        <w:tc>
          <w:tcPr>
            <w:tcW w:type="auto"/>
          </w:tcPr>
          <w:p>
            <w:pPr>
              <w:pStyle w:val="TableContents"/>
            </w:pPr>
            <w:r>
              <w:rPr>
                <w:sz w:val="22"/>
              </w:rPr>
              <w:t xml:space="preserve">The Remap OBP Processing dialog box appears. Select CEs to Remap Select ADD or DELETE button to move to CEs Chosen to REMAP text box. Select REMAP Button to REMAP the CEs and leave the dialog box open. Select Cancel to close the dialog box without remapping the CEs.</w:t>
            </w:r>
          </w:p>
        </w:tc>
        <w:tc>
          <w:tcPr>
            <w:tcW w:type="auto"/>
          </w:tcPr>
          <w:p>
            <w:pPr>
              <w:pStyle w:val="TableContents"/>
            </w:pPr>
            <w:r>
              <w:rPr>
                <w:sz w:val="22"/>
              </w:rPr>
              <w:t xml:space="preserve"> Figure  SEQ Figure \* ARABIC 61 SCWS Uplink OBP Remap CE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Reinitialize.</w:t>
            </w:r>
          </w:p>
        </w:tc>
        <w:tc>
          <w:tcPr>
            <w:tcW w:type="auto"/>
          </w:tcPr>
          <w:p>
            <w:pPr>
              <w:pStyle w:val="TableContents"/>
            </w:pPr>
            <w:r>
              <w:rPr>
                <w:sz w:val="22"/>
                <w:b/>
              </w:rPr>
              <w:t xml:space="preserve"> Figure  SEQ Figure \* ARABIC 62 SCWS Uplink OBP Reinitialize OBP</w:t>
            </w:r>
          </w:p>
        </w:tc>
      </w:tr>
      <w:tr>
        <w:tc>
          <w:tcPr>
            <w:tcW w:type="auto"/>
          </w:tcPr>
          <w:p>
            <w:pPr>
              <w:pStyle w:val="TableContents"/>
            </w:pPr>
            <w:r>
              <w:rPr>
                <w:sz w:val="22"/>
              </w:rPr>
              <w:t xml:space="preserve">The Reinitialize OBP Confirmation window appears. Select OK to reinitialize the OBP and close the confirmation window. Select Apply to reinitialize the OBP and leave the confirmation window open. Select Cancel to close the window without reinitializing the OBP.</w:t>
            </w:r>
          </w:p>
        </w:tc>
        <w:tc>
          <w:tcPr>
            <w:tcW w:type="auto"/>
          </w:tcPr>
          <w:p>
            <w:pPr>
              <w:pStyle w:val="TableContents"/>
            </w:pPr>
            <w:r>
              <w:rPr>
                <w:sz w:val="22"/>
              </w:rPr>
              <w:t xml:space="preserve"> Figure  SEQ Figure \* ARABIC 63 SCWS Uplink OBP Reinitialize OBP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Record ARS Messages.</w:t>
            </w:r>
          </w:p>
        </w:tc>
        <w:tc>
          <w:tcPr>
            <w:tcW w:type="auto"/>
          </w:tcPr>
          <w:p>
            <w:pPr>
              <w:pStyle w:val="TableContents"/>
            </w:pPr>
            <w:r>
              <w:rPr>
                <w:sz w:val="22"/>
                <w:b/>
              </w:rPr>
              <w:t xml:space="preserve"> Figure  SEQ Figure \* ARABIC 64 SCWS Uplink OBP Record ARS Messages</w:t>
            </w:r>
          </w:p>
        </w:tc>
      </w:tr>
      <w:tr>
        <w:tc>
          <w:tcPr>
            <w:tcW w:type="auto"/>
          </w:tcPr>
          <w:p>
            <w:pPr>
              <w:pStyle w:val="TableContents"/>
            </w:pPr>
            <w:r>
              <w:rPr>
                <w:sz w:val="22"/>
              </w:rPr>
              <w:t xml:space="preserve">The Record ARS Messages Dialog box appears. Record ARS Messages Checkbox Checked to Record ARS Message (default) Unchecked to not Record ARS Messages  Finally Select OK to record ARS messages and close the dialog box. Select Apply to record ARS messages and leave the dialog box open. Select Cancel to close the dialog box without recording ARS messages.</w:t>
            </w:r>
          </w:p>
        </w:tc>
        <w:tc>
          <w:tcPr>
            <w:tcW w:type="auto"/>
          </w:tcPr>
          <w:p>
            <w:pPr>
              <w:pStyle w:val="TableContents"/>
            </w:pPr>
            <w:r>
              <w:rPr>
                <w:sz w:val="22"/>
              </w:rPr>
              <w:t xml:space="preserve"> Figure  SEQ Figure \* ARABIC 65 SCWS Uplink OBP Record ARS Messages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Spot Apodization.</w:t>
            </w:r>
          </w:p>
        </w:tc>
        <w:tc>
          <w:tcPr>
            <w:tcW w:type="auto"/>
          </w:tcPr>
          <w:p>
            <w:pPr>
              <w:pStyle w:val="TableContents"/>
            </w:pPr>
            <w:r>
              <w:rPr>
                <w:sz w:val="22"/>
                <w:b/>
              </w:rPr>
              <w:t xml:space="preserve"> Figure  SEQ Figure \* ARABIC 66 SCWS Uplink OBP Spot Apodization</w:t>
            </w:r>
          </w:p>
        </w:tc>
      </w:tr>
      <w:tr>
        <w:tc>
          <w:tcPr>
            <w:tcW w:type="auto"/>
          </w:tcPr>
          <w:p>
            <w:pPr>
              <w:pStyle w:val="TableContents"/>
            </w:pPr>
            <w:r>
              <w:rPr>
                <w:sz w:val="22"/>
              </w:rPr>
              <w:t xml:space="preserve">The Spot Apodization dialog box appears. select radio button Detected SVA On or Detected SVA Off  Finally, Select OK to apply Spot Apodization and close the dialog box. Select Apply to apply Spot Apodization and leave the dialog box open. Select Cancel to close the dialog box without Spot Apodization.</w:t>
            </w:r>
          </w:p>
        </w:tc>
        <w:tc>
          <w:tcPr>
            <w:tcW w:type="auto"/>
          </w:tcPr>
          <w:p>
            <w:pPr>
              <w:pStyle w:val="TableContents"/>
            </w:pPr>
            <w:r>
              <w:rPr>
                <w:sz w:val="22"/>
              </w:rPr>
              <w:t xml:space="preserve"> Figure  SEQ Figure \* ARABIC 67 SCWS Uplink OBP Spot Apodization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Request Processing Options.</w:t>
            </w:r>
          </w:p>
        </w:tc>
        <w:tc>
          <w:tcPr>
            <w:tcW w:type="auto"/>
          </w:tcPr>
          <w:p>
            <w:pPr>
              <w:pStyle w:val="TableContents"/>
            </w:pPr>
            <w:r>
              <w:rPr>
                <w:sz w:val="22"/>
                <w:b/>
              </w:rPr>
              <w:t xml:space="preserve"> Figure  SEQ Figure \* ARABIC 68 SCWS Uplink OBP Request Processing Options</w:t>
            </w:r>
          </w:p>
        </w:tc>
      </w:tr>
      <w:tr>
        <w:tc>
          <w:tcPr>
            <w:tcW w:type="auto"/>
          </w:tcPr>
          <w:p>
            <w:pPr>
              <w:pStyle w:val="TableContents"/>
            </w:pPr>
            <w:r>
              <w:rPr>
                <w:sz w:val="22"/>
              </w:rPr>
              <w:t xml:space="preserve">The Request Processing Options Confirmation window appears.  Select OK to request Processing Options and close the confirmation window. Select Apply to request Processing Options and leave the confirmation window open. Select Cancel to close the window without Requesting Processing Options.</w:t>
            </w:r>
          </w:p>
        </w:tc>
        <w:tc>
          <w:tcPr>
            <w:tcW w:type="auto"/>
          </w:tcPr>
          <w:p>
            <w:pPr>
              <w:pStyle w:val="TableContents"/>
            </w:pPr>
            <w:r>
              <w:rPr>
                <w:sz w:val="22"/>
              </w:rPr>
              <w:t xml:space="preserve"> Figure  SEQ Figure \* ARABIC 69 SCWS Uplink OBP Request Processing Options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Terminate. </w:t>
            </w:r>
          </w:p>
        </w:tc>
        <w:tc>
          <w:tcPr>
            <w:tcW w:type="auto"/>
          </w:tcPr>
          <w:p>
            <w:pPr>
              <w:pStyle w:val="TableContents"/>
            </w:pPr>
            <w:r>
              <w:rPr>
                <w:sz w:val="22"/>
                <w:b/>
              </w:rPr>
              <w:t xml:space="preserve"> Figure  SEQ Figure \* ARABIC 70 SCWS Uplink OBP Terminate</w:t>
            </w:r>
          </w:p>
        </w:tc>
      </w:tr>
      <w:tr>
        <w:tc>
          <w:tcPr>
            <w:tcW w:type="auto"/>
          </w:tcPr>
          <w:p>
            <w:pPr>
              <w:pStyle w:val="TableContents"/>
            </w:pPr>
            <w:r>
              <w:rPr>
                <w:sz w:val="22"/>
              </w:rPr>
              <w:t xml:space="preserve">The Terminate OBP Confirmation window appears.  Select OK to terminate the OBP and close the confirmation window. Select Apply to terminate the OBP and leave the confirmation window open. Select Cancel to close the window without terminating the OBP.</w:t>
            </w:r>
          </w:p>
        </w:tc>
        <w:tc>
          <w:tcPr>
            <w:tcW w:type="auto"/>
          </w:tcPr>
          <w:p>
            <w:pPr>
              <w:pStyle w:val="TableContents"/>
            </w:pPr>
            <w:r>
              <w:rPr>
                <w:sz w:val="22"/>
              </w:rPr>
              <w:t xml:space="preserve"> Figure  SEQ Figure \* ARABIC 71 SCWS Uplink OBP Terminate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Request ARS Logs. </w:t>
            </w:r>
          </w:p>
        </w:tc>
        <w:tc>
          <w:tcPr>
            <w:tcW w:type="auto"/>
          </w:tcPr>
          <w:p>
            <w:pPr>
              <w:pStyle w:val="TableContents"/>
            </w:pPr>
            <w:r>
              <w:rPr>
                <w:sz w:val="22"/>
                <w:b/>
              </w:rPr>
              <w:t xml:space="preserve"> Figure  SEQ Figure \* ARABIC 72 SCWS Uplink OBP Request ARS Logs</w:t>
            </w:r>
          </w:p>
        </w:tc>
      </w:tr>
      <w:tr>
        <w:tc>
          <w:tcPr>
            <w:tcW w:type="auto"/>
          </w:tcPr>
          <w:p>
            <w:pPr>
              <w:pStyle w:val="TableContents"/>
            </w:pPr>
            <w:r>
              <w:rPr>
                <w:sz w:val="22"/>
              </w:rPr>
              <w:t xml:space="preserve">The ARS Logs Request dialog box appears. Select Radio button Current logs All archived logs Specified archive  Select OK to request selected ARS Logs and close the dialog box. Select Apply to request selected ARS Logs and leave the dialog box open. Select Cancel to close the dialog box without selecting ARS logs.</w:t>
            </w:r>
          </w:p>
        </w:tc>
        <w:tc>
          <w:tcPr>
            <w:tcW w:type="auto"/>
          </w:tcPr>
          <w:p>
            <w:pPr>
              <w:pStyle w:val="TableContents"/>
            </w:pPr>
            <w:r>
              <w:rPr>
                <w:sz w:val="22"/>
              </w:rPr>
              <w:t xml:space="preserve">  Figure  SEQ Figure \* ARABIC 73 SCWS Uplink OBP Request ARS Logs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Request Test Image. </w:t>
            </w:r>
          </w:p>
        </w:tc>
        <w:tc>
          <w:tcPr>
            <w:tcW w:type="auto"/>
          </w:tcPr>
          <w:p>
            <w:pPr>
              <w:pStyle w:val="TableContents"/>
            </w:pPr>
            <w:r>
              <w:rPr>
                <w:sz w:val="22"/>
                <w:b/>
              </w:rPr>
              <w:t xml:space="preserve"> Figure  SEQ Figure \* ARABIC 74 SCWS Uplink OBP Request Test Image</w:t>
            </w:r>
          </w:p>
        </w:tc>
      </w:tr>
      <w:tr>
        <w:tc>
          <w:tcPr>
            <w:tcW w:type="auto"/>
          </w:tcPr>
          <w:p>
            <w:pPr>
              <w:pStyle w:val="TableContents"/>
            </w:pPr>
            <w:r>
              <w:rPr>
                <w:sz w:val="22"/>
              </w:rPr>
              <w:t xml:space="preserve">The Request Test Image Confirmation window appears.  Select OK to request the OBP to generate a Test Image and close the confirmation window. Select Apply to request the OBP to generate a Test Image and leave the confirmation window open. Select Cancel to close the window without requesting the OBP to generate a Test Image.</w:t>
            </w:r>
          </w:p>
        </w:tc>
        <w:tc>
          <w:tcPr>
            <w:tcW w:type="auto"/>
          </w:tcPr>
          <w:p>
            <w:pPr>
              <w:pStyle w:val="TableContents"/>
            </w:pPr>
            <w:r>
              <w:rPr>
                <w:sz w:val="22"/>
              </w:rPr>
              <w:t xml:space="preserve">   Figure  SEQ Figure \* ARABIC 75 SCWS Uplink OBP Request Test Image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OBP, then select Set Serial Numbers.    </w:t>
            </w:r>
          </w:p>
        </w:tc>
        <w:tc>
          <w:tcPr>
            <w:tcW w:type="auto"/>
          </w:tcPr>
          <w:p>
            <w:pPr>
              <w:pStyle w:val="TableContents"/>
            </w:pPr>
            <w:r>
              <w:rPr>
                <w:sz w:val="22"/>
                <w:b/>
              </w:rPr>
              <w:t xml:space="preserve"> Figure  SEQ Figure \* ARABIC 76 SCWS Uplink OBP Set Serial Numbers</w:t>
            </w:r>
          </w:p>
        </w:tc>
      </w:tr>
      <w:tr>
        <w:tc>
          <w:tcPr>
            <w:tcW w:type="auto"/>
          </w:tcPr>
          <w:p>
            <w:pPr>
              <w:pStyle w:val="TableContents"/>
            </w:pPr>
            <w:r>
              <w:rPr>
                <w:sz w:val="22"/>
              </w:rPr>
              <w:t xml:space="preserve">The ARS Serial Numbers dialog window appears.   Select OK to set the serial numbers and close the confirmation window. Select Apply to set the serial numbers and leave the confirmation window open. Select Cancel to close the window without setting the serial numbers. </w:t>
            </w:r>
          </w:p>
        </w:tc>
        <w:tc>
          <w:tcPr>
            <w:tcW w:type="auto"/>
          </w:tcPr>
          <w:p>
            <w:pPr>
              <w:pStyle w:val="TableContents"/>
            </w:pPr>
            <w:r>
              <w:rPr>
                <w:sz w:val="22"/>
              </w:rPr>
              <w:t xml:space="preserve"> Figure  SEQ Figure \* ARABIC 77 SCWS Uplink OBP Set Serial Numbers Dialog</w:t>
            </w:r>
          </w:p>
        </w:tc>
      </w:tr>
    </w:tbl>
    <w:p>
      <w:pPr>
        <w:spacing w:before="240" w:after="240"/>
      </w:pPr>
    </w:p>
    <w:p>
      <w:pPr>
        <w:pStyle w:val="TableTitle"/>
        <w:jc w:val="left"/>
        <w:spacing w:after="120"/>
      </w:pPr>
      <w:r>
        <w:rPr>
          <w:b/>
        </w:rPr>
        <w:t>Table 4 Table Table \* ARABIC 5 OBP Commonly Used Commands</w:t>
      </w: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Command</w:t>
            </w:r>
          </w:p>
        </w:tc>
        <w:tc>
          <w:tcPr>
            <w:tcW w:type="auto"/>
          </w:tcPr>
          <w:p>
            <w:pPr>
              <w:pStyle w:val="TableContents"/>
            </w:pPr>
            <w:r>
              <w:rPr>
                <w:sz w:val="22"/>
                <w:b/>
              </w:rPr>
              <w:t xml:space="preserve">Description</w:t>
            </w:r>
          </w:p>
        </w:tc>
      </w:tr>
      <w:tr>
        <w:tc>
          <w:tcPr>
            <w:tcW w:type="auto"/>
          </w:tcPr>
          <w:p>
            <w:pPr>
              <w:pStyle w:val="TableContents"/>
            </w:pPr>
            <w:r>
              <w:rPr>
                <w:sz w:val="22"/>
              </w:rPr>
              <w:t xml:space="preserve">tail_run</w:t>
            </w:r>
          </w:p>
        </w:tc>
        <w:tc>
          <w:tcPr>
            <w:tcW w:type="auto"/>
          </w:tcPr>
          <w:p>
            <w:pPr>
              <w:pStyle w:val="TableContents"/>
            </w:pPr>
            <w:r>
              <w:rPr>
                <w:sz w:val="22"/>
              </w:rPr>
              <w:t xml:space="preserve">Display the continually updating OBP log file.</w:t>
            </w:r>
          </w:p>
        </w:tc>
      </w:tr>
      <w:tr>
        <w:tc>
          <w:tcPr>
            <w:tcW w:type="auto"/>
          </w:tcPr>
          <w:p>
            <w:pPr>
              <w:pStyle w:val="TableContents"/>
            </w:pPr>
            <w:r>
              <w:rPr>
                <w:sz w:val="22"/>
              </w:rPr>
              <w:t xml:space="preserve">tail_pcu</w:t>
            </w:r>
          </w:p>
        </w:tc>
        <w:tc>
          <w:tcPr>
            <w:tcW w:type="auto"/>
          </w:tcPr>
          <w:p>
            <w:pPr>
              <w:pStyle w:val="TableContents"/>
            </w:pPr>
            <w:r>
              <w:rPr>
                <w:sz w:val="22"/>
              </w:rPr>
              <w:t xml:space="preserve">Display the continually updating REC log file.</w:t>
            </w:r>
          </w:p>
        </w:tc>
      </w:tr>
      <w:tr>
        <w:tc>
          <w:tcPr>
            <w:tcW w:type="auto"/>
          </w:tcPr>
          <w:p>
            <w:pPr>
              <w:pStyle w:val="TableContents"/>
            </w:pPr>
            <w:r>
              <w:rPr>
                <w:sz w:val="22"/>
              </w:rPr>
              <w:t xml:space="preserve">ver</w:t>
            </w:r>
          </w:p>
        </w:tc>
        <w:tc>
          <w:tcPr>
            <w:tcW w:type="auto"/>
          </w:tcPr>
          <w:p>
            <w:pPr>
              <w:pStyle w:val="TableContents"/>
            </w:pPr>
            <w:r>
              <w:rPr>
                <w:sz w:val="22"/>
              </w:rPr>
              <w:t xml:space="preserve">Display what OBP and REC S/W versions will load on the next respective unit restart.</w:t>
            </w:r>
          </w:p>
        </w:tc>
      </w:tr>
      <w:tr>
        <w:tc>
          <w:tcPr>
            <w:tcW w:type="auto"/>
          </w:tcPr>
          <w:p>
            <w:pPr>
              <w:pStyle w:val="TableContents"/>
            </w:pPr>
            <w:r>
              <w:rPr>
                <w:sz w:val="22"/>
              </w:rPr>
              <w:t xml:space="preserve">summary</w:t>
            </w:r>
          </w:p>
        </w:tc>
        <w:tc>
          <w:tcPr>
            <w:tcW w:type="auto"/>
          </w:tcPr>
          <w:p>
            <w:pPr>
              <w:pStyle w:val="TableContents"/>
            </w:pPr>
            <w:r>
              <w:rPr>
                <w:sz w:val="22"/>
              </w:rPr>
              <w:t xml:space="preserve">Prepares a formatted report that outlines what scenes collected and any restarts.</w:t>
            </w:r>
          </w:p>
        </w:tc>
      </w:tr>
      <w:tr>
        <w:tc>
          <w:tcPr>
            <w:tcW w:type="auto"/>
          </w:tcPr>
          <w:p>
            <w:pPr>
              <w:pStyle w:val="TableContents"/>
            </w:pPr>
            <w:r>
              <w:rPr>
                <w:sz w:val="22"/>
              </w:rPr>
              <w:t xml:space="preserve">halt_obp</w:t>
            </w:r>
          </w:p>
        </w:tc>
        <w:tc>
          <w:tcPr>
            <w:tcW w:type="auto"/>
          </w:tcPr>
          <w:p>
            <w:pPr>
              <w:pStyle w:val="TableContents"/>
            </w:pPr>
            <w:r>
              <w:rPr>
                <w:sz w:val="22"/>
              </w:rPr>
              <w:t xml:space="preserve">Same as executing a CDU reset 60.</w:t>
            </w:r>
          </w:p>
        </w:tc>
      </w:tr>
      <w:tr>
        <w:tc>
          <w:tcPr>
            <w:tcW w:type="auto"/>
          </w:tcPr>
          <w:p>
            <w:pPr>
              <w:pStyle w:val="TableContents"/>
            </w:pPr>
            <w:r>
              <w:rPr>
                <w:sz w:val="22"/>
              </w:rPr>
              <w:t xml:space="preserve">tip hardwire</w:t>
            </w:r>
          </w:p>
        </w:tc>
        <w:tc>
          <w:tcPr>
            <w:tcW w:type="auto"/>
          </w:tcPr>
          <w:p>
            <w:pPr>
              <w:pStyle w:val="TableContents"/>
            </w:pPr>
            <w:r>
              <w:rPr>
                <w:sz w:val="22"/>
              </w:rPr>
              <w:t xml:space="preserve">Accesses the REC firmware and allows another set of commands to be executed from there. These include: rcvr off, rcvr on – REC off / on st – show temperatures sair – show aircraft voltages </w:t>
            </w:r>
          </w:p>
        </w:tc>
      </w:tr>
      <w:tr>
        <w:tc>
          <w:tcPr>
            <w:tcW w:type="auto"/>
          </w:tcPr>
          <w:p>
            <w:pPr>
              <w:pStyle w:val="TableContents"/>
            </w:pPr>
            <w:r>
              <w:rPr>
                <w:sz w:val="22"/>
              </w:rPr>
              <w:t xml:space="preserve">cleanup</w:t>
            </w:r>
          </w:p>
        </w:tc>
        <w:tc>
          <w:tcPr>
            <w:tcW w:type="auto"/>
          </w:tcPr>
          <w:p>
            <w:pPr>
              <w:pStyle w:val="TableContents"/>
            </w:pPr>
            <w:r>
              <w:rPr>
                <w:sz w:val="22"/>
              </w:rPr>
              <w:t xml:space="preserve">Move all the log files in the /opt/RayES/run directory into an archive directory.</w:t>
            </w:r>
          </w:p>
        </w:tc>
      </w:tr>
      <w:tr>
        <w:tc>
          <w:tcPr>
            <w:tcW w:type="auto"/>
          </w:tcPr>
          <w:p>
            <w:pPr>
              <w:pStyle w:val="TableContents"/>
            </w:pPr>
            <w:r>
              <w:rPr>
                <w:sz w:val="22"/>
              </w:rPr>
              <w:t xml:space="preserve">tail_sys</w:t>
            </w:r>
          </w:p>
        </w:tc>
        <w:tc>
          <w:tcPr>
            <w:tcW w:type="auto"/>
          </w:tcPr>
          <w:p>
            <w:pPr>
              <w:pStyle w:val="TableContents"/>
            </w:pPr>
            <w:r>
              <w:rPr>
                <w:sz w:val="22"/>
              </w:rPr>
              <w:t xml:space="preserve">Displays the continually updating system log file generated by the OBP.</w:t>
            </w:r>
          </w:p>
        </w:tc>
      </w:tr>
    </w:tbl>
    <w:p>
      <w:pPr>
        <w:pStyle w:val="Heading4"/>
        <w:jc w:val="left"/>
        <w:spacing w:before="240" w:after="0"/>
      </w:pPr>
      <w:r>
        <w:rPr>
          <w:b/>
        </w:rPr>
        <w:t>Uplink MSU Commands</w:t>
      </w:r>
    </w:p>
    <w:p>
      <w:pPr>
        <w:pStyle w:val="Normal"/>
        <w:spacing w:after="200" w:line="276" w:lineRule="auto"/>
      </w:pPr>
      <w:r>
        <w:rPr>
          <w:sz w:val="24"/>
        </w:rPr>
        <w:t xml:space="preserve">The MSU GUI displays information on collected scenes residing on the MSU, such as scene numbers, memory address locations, mode types, data types recorded, information about when the scene was recorded, and mission ID.</w:t>
      </w:r>
    </w:p>
    <w:p>
      <w:pPr>
        <w:pStyle w:val="Normal"/>
        <w:spacing w:after="200" w:line="276" w:lineRule="auto"/>
      </w:pPr>
      <w:r>
        <w:rPr>
          <w:sz w:val="24"/>
        </w:rPr>
        <w:t xml:space="preserve">The MSU GUI's control functions allow the user to:</w:t>
      </w:r>
    </w:p>
    <w:p>
      <w:pPr>
        <w:pStyle w:val="Normal"/>
        <w:spacing w:after="200" w:line="276" w:lineRule="auto"/>
      </w:pPr>
      <w:r>
        <w:rPr>
          <w:sz w:val="24"/>
        </w:rPr>
        <w:t xml:space="preserve">Stop or resume recording</w:t>
      </w:r>
    </w:p>
    <w:p>
      <w:pPr>
        <w:pStyle w:val="Normal"/>
        <w:spacing w:after="200" w:line="276" w:lineRule="auto"/>
      </w:pPr>
      <w:r>
        <w:rPr>
          <w:sz w:val="24"/>
        </w:rPr>
        <w:t xml:space="preserve">Position or rewind the MSU to a desired location</w:t>
      </w:r>
    </w:p>
    <w:p>
      <w:pPr>
        <w:pStyle w:val="Normal"/>
        <w:spacing w:after="200" w:line="276" w:lineRule="auto"/>
      </w:pPr>
      <w:r>
        <w:rPr>
          <w:sz w:val="24"/>
        </w:rPr>
        <w:t xml:space="preserve">Playback previously recorded scenes.</w:t>
      </w:r>
    </w:p>
    <w:p>
      <w:pPr>
        <w:pStyle w:val="Normal"/>
        <w:spacing w:after="200" w:line="276" w:lineRule="auto"/>
      </w:pPr>
      <w:r>
        <w:rPr>
          <w:sz w:val="24"/>
        </w:rPr>
        <w:t xml:space="preserve">Update the window with all of the scenes recorded on the MSU. This is useful when the data link is intermittent.</w:t>
      </w:r>
    </w:p>
    <w:p>
      <w:pPr>
        <w:pStyle w:val="Normal"/>
        <w:spacing w:after="200" w:line="276" w:lineRule="auto"/>
      </w:pPr>
      <w:r>
        <w:rPr>
          <w:sz w:val="24"/>
        </w:rPr>
        <w:t xml:space="preserve">Uplink REC Commands</w:t>
      </w:r>
    </w:p>
    <w:p>
      <w:pPr>
        <w:pStyle w:val="Normal"/>
        <w:spacing w:after="200" w:line="276" w:lineRule="auto"/>
      </w:pPr>
      <w:r>
        <w:rPr>
          <w:sz w:val="24"/>
        </w:rPr>
        <w:t xml:space="preserve">The Uplink REC menu selection provides the operator with the capability to issue commands and communicate with the REC in the Aircraft.</w:t>
      </w:r>
    </w:p>
    <w:p>
      <w:pPr>
        <w:pStyle w:val="Normal"/>
        <w:spacing w:after="200" w:line="276" w:lineRule="auto"/>
      </w:pPr>
      <w:r>
        <w:rPr>
          <w:sz w:val="24"/>
        </w:rPr>
        <w:t xml:space="preserve">Scene Abort</w:t>
      </w:r>
    </w:p>
    <w:p>
      <w:pPr>
        <w:pStyle w:val="Normal"/>
        <w:spacing w:after="200" w:line="276" w:lineRule="auto"/>
      </w:pPr>
      <w:r>
        <w:rPr>
          <w:sz w:val="24"/>
        </w:rPr>
        <w:t xml:space="preserve">A REC Scene Abort uplink will stop/delete the current scene that the REC is collecting or has scheduled. A Scene Abort stops a scene to make room for another scene or other action.</w:t>
      </w:r>
    </w:p>
    <w:p>
      <w:pPr>
        <w:pStyle w:val="Normal"/>
        <w:spacing w:after="200" w:line="276" w:lineRule="auto"/>
      </w:pPr>
      <w:r>
        <w:rPr>
          <w:sz w:val="24"/>
        </w:rPr>
        <w:t xml:space="preserve">Test Target</w:t>
      </w:r>
    </w:p>
    <w:p>
      <w:pPr>
        <w:pStyle w:val="Normal"/>
        <w:spacing w:after="200" w:line="276" w:lineRule="auto"/>
      </w:pPr>
      <w:r>
        <w:rPr>
          <w:sz w:val="24"/>
        </w:rPr>
        <w:t xml:space="preserve">A request for Test Target processing is uplinked to the ARS to evaluate processing of a test signal to avoid radiating/imaging. Several different processing options are available. Detected or complex processing of a PI/EPI verifies end-to-end (E2E) operation of the system. Statistical E2E processing runs the HW through profile tests and returns a pass or fail result.</w:t>
      </w:r>
    </w:p>
    <w:p>
      <w:pPr>
        <w:pStyle w:val="Normal"/>
        <w:spacing w:after="200" w:line="276" w:lineRule="auto"/>
      </w:pPr>
      <w:r>
        <w:rPr>
          <w:sz w:val="24"/>
        </w:rPr>
        <w:t xml:space="preserve">Allows the operator to select Mode, Path, Processing Options, Automatic Gain Control (AGC), Step Attenuator, Array Mode, Dselect, and enable or disable recording of VPH &amp; AUX data. This data and settings are sent to the REC.</w:t>
      </w:r>
    </w:p>
    <w:p>
      <w:pPr>
        <w:pStyle w:val="Normal"/>
        <w:spacing w:after="200" w:line="276" w:lineRule="auto"/>
      </w:pPr>
      <w:r>
        <w:rPr>
          <w:sz w:val="24"/>
        </w:rPr>
        <w:t xml:space="preserve">Table  SEQ Table \* ARABIC 6 Array Modes</w:t>
      </w:r>
    </w:p>
    <w:p>
      <w:pPr>
        <w:pStyle w:val="Normal"/>
        <w:spacing w:after="200" w:line="276" w:lineRule="auto"/>
      </w:pPr>
      <w:r>
        <w:rPr>
          <w:sz w:val="24"/>
        </w:rPr>
        <w:t xml:space="preserve">Boresight Adjustment</w:t>
      </w:r>
    </w:p>
    <w:p>
      <w:pPr>
        <w:pStyle w:val="Normal"/>
        <w:spacing w:after="200" w:line="276" w:lineRule="auto"/>
      </w:pPr>
      <w:r>
        <w:rPr>
          <w:sz w:val="24"/>
        </w:rPr>
        <w:t xml:space="preserve">Boresight Adjust commands are uplinked to the ARS adjust the ARS antenna boresight. This function is intended for use only by Raytheon personnel. Boresight Adjustment is a development feature that should not be used tactically unless advised by Raytheon personnel. It alters the aircraft antenna pointing angle in azimuth. This is used to center the antenna beam on the patch of land being illuminated. In search mode, when the bottom of a batch of imagery is brighter than the top (or vice-versa) the consecutive batches will visibly vary from dark to light (the Venetian blind effect). Adjusting Boresight will even the brightness of each batch so consecutive batches will blend better.</w:t>
      </w:r>
    </w:p>
    <w:p>
      <w:pPr>
        <w:pStyle w:val="Normal"/>
        <w:spacing w:after="200" w:line="276" w:lineRule="auto"/>
      </w:pPr>
      <w:r>
        <w:rPr>
          <w:sz w:val="24"/>
        </w:rPr>
        <w:t xml:space="preserve">REC Reset</w:t>
      </w:r>
    </w:p>
    <w:p>
      <w:pPr>
        <w:pStyle w:val="Normal"/>
        <w:spacing w:after="200" w:line="276" w:lineRule="auto"/>
      </w:pPr>
      <w:r>
        <w:rPr>
          <w:sz w:val="24"/>
        </w:rPr>
        <w:t xml:space="preserve">Uplinking a REC Reset initiates a soft reset of the REC. It reloads the REC SW and can be commanded via uplink or CDU Reset 55. A REC Reset is uplinked when REC integrity is in question.</w:t>
      </w:r>
    </w:p>
    <w:p>
      <w:pPr>
        <w:pStyle w:val="Normal"/>
        <w:spacing w:after="200" w:line="276" w:lineRule="auto"/>
      </w:pPr>
      <w:r>
        <w:rPr>
          <w:sz w:val="24"/>
        </w:rPr>
        <w:t xml:space="preserve">REC VME Reset</w:t>
      </w:r>
    </w:p>
    <w:p>
      <w:pPr>
        <w:pStyle w:val="Normal"/>
        <w:spacing w:after="200" w:line="276" w:lineRule="auto"/>
      </w:pPr>
      <w:r>
        <w:rPr>
          <w:sz w:val="24"/>
        </w:rPr>
        <w:t xml:space="preserve">A REC VME Reset is a hard reset of the REC. It reloads the REC SW and the VME backplane registers are cleared. This causes a loss of transmitter (the timeout will take an additional 8 minutes). A REC VME Reset can be commanded via uplink or CDU Reset 5. A REC VME Reset should be uplinked when REC integrity is in question especially after a prior REC Reset (described above) did not resolve the issue.</w:t>
      </w:r>
    </w:p>
    <w:p>
      <w:pPr>
        <w:pStyle w:val="Normal"/>
        <w:spacing w:after="200" w:line="276" w:lineRule="auto"/>
      </w:pPr>
      <w:r>
        <w:rPr>
          <w:sz w:val="24"/>
        </w:rPr>
        <w:t xml:space="preserve">ARS Data Request</w:t>
      </w:r>
    </w:p>
    <w:p>
      <w:pPr>
        <w:pStyle w:val="Normal"/>
        <w:spacing w:after="200" w:line="276" w:lineRule="auto"/>
      </w:pPr>
      <w:r>
        <w:rPr>
          <w:sz w:val="24"/>
        </w:rPr>
        <w:t xml:space="preserve">A request for ARS data is uplinked to the ARS to monitor certain ARS parameters. The data used is for developmental test purposes by engineering personnel. ARS Data Request is a testing feature that should not be used tactically.</w:t>
      </w:r>
    </w:p>
    <w:p>
      <w:pPr>
        <w:pStyle w:val="Normal"/>
        <w:spacing w:after="200" w:line="276" w:lineRule="auto"/>
      </w:pPr>
      <w:r>
        <w:rPr>
          <w:sz w:val="24"/>
        </w:rPr>
        <w:t xml:space="preserve">CDU Reset</w:t>
      </w:r>
    </w:p>
    <w:p>
      <w:pPr>
        <w:pStyle w:val="Normal"/>
        <w:spacing w:after="200" w:line="276" w:lineRule="auto"/>
      </w:pPr>
      <w:r>
        <w:rPr>
          <w:sz w:val="24"/>
        </w:rPr>
        <w:t xml:space="preserve">A request for a CDU Reset system command is uplinked to the ARS to perform one of the CDU reset functions without tasking the pilot. The uplinked command will consist of the CDU Reset command number and, for some CDU resets, an optional command parameter. Refer to Section 4 for CDU reset command listings and descriptions.</w:t>
      </w:r>
    </w:p>
    <w:p>
      <w:pPr>
        <w:pStyle w:val="Normal"/>
        <w:spacing w:after="200" w:line="276" w:lineRule="auto"/>
      </w:pPr>
      <w:r>
        <w:rPr>
          <w:sz w:val="24"/>
        </w:rPr>
        <w:t xml:space="preserve">Table  SEQ Table \* ARABIC 7 CDU Reset (a)</w:t>
      </w:r>
    </w:p>
    <w:p>
      <w:pPr>
        <w:pStyle w:val="Normal"/>
        <w:spacing w:after="200" w:line="276" w:lineRule="auto"/>
      </w:pPr>
      <w:r>
        <w:rPr>
          <w:sz w:val="24"/>
        </w:rPr>
        <w:t xml:space="preserve">NOTE</w:t>
      </w:r>
    </w:p>
    <w:p>
      <w:pPr>
        <w:pStyle w:val="Normal"/>
        <w:spacing w:after="200" w:line="276" w:lineRule="auto"/>
      </w:pPr>
      <w:r>
        <w:rPr>
          <w:sz w:val="24"/>
        </w:rPr>
        <w:t xml:space="preserve">To command a CDU Reset by the pilot using the CDU: Press RESET, enter Reset Number, then press ENTER</w:t>
      </w:r>
    </w:p>
    <w:p>
      <w:pPr>
        <w:pStyle w:val="Normal"/>
        <w:spacing w:after="200" w:line="276" w:lineRule="auto"/>
      </w:pPr>
      <w:r>
        <w:rPr>
          <w:sz w:val="24"/>
        </w:rPr>
        <w:t xml:space="preserve">H/W disable prevents CDU Reset 4 from having any effect</w:t>
      </w:r>
    </w:p>
    <w:p>
      <w:pPr>
        <w:pStyle w:val="Normal"/>
        <w:spacing w:after="200" w:line="276" w:lineRule="auto"/>
      </w:pPr>
      <w:r>
        <w:rPr>
          <w:sz w:val="24"/>
        </w:rPr>
        <w:t xml:space="preserve">Engineer Use Only - no use in the field, should only be used for engineering purposes</w:t>
      </w:r>
    </w:p>
    <w:p>
      <w:pPr>
        <w:pStyle w:val="Normal"/>
        <w:spacing w:after="200" w:line="276" w:lineRule="auto"/>
      </w:pPr>
      <w:r>
        <w:rPr>
          <w:sz w:val="24"/>
        </w:rPr>
        <w:t xml:space="preserve">Input Parameter: OBP disk file slot number (1-10) to save copy of current mission plan to</w:t>
      </w:r>
    </w:p>
    <w:p>
      <w:pPr>
        <w:pStyle w:val="Normal"/>
        <w:spacing w:after="200" w:line="276" w:lineRule="auto"/>
      </w:pPr>
      <w:r>
        <w:rPr>
          <w:sz w:val="24"/>
        </w:rPr>
        <w:t xml:space="preserve">Input parameter: OBP disk file slot number (1-10) to load a saved mission plan from</w:t>
      </w:r>
    </w:p>
    <w:p>
      <w:pPr>
        <w:pStyle w:val="Normal"/>
        <w:spacing w:after="200" w:line="276" w:lineRule="auto"/>
      </w:pPr>
      <w:r>
        <w:rPr>
          <w:sz w:val="24"/>
        </w:rPr>
        <w:t xml:space="preserve">Input parameter: desired AEP state [0=AEP set to disable, 1=AEP set to passive]</w:t>
      </w:r>
    </w:p>
    <w:p>
      <w:pPr>
        <w:pStyle w:val="Normal"/>
        <w:spacing w:after="200" w:line="276" w:lineRule="auto"/>
      </w:pPr>
      <w:r>
        <w:rPr>
          <w:sz w:val="24"/>
        </w:rPr>
        <w:t xml:space="preserve">Input parameter: kit number to be stored for later insertion into NITF headers</w:t>
      </w:r>
    </w:p>
    <w:p>
      <w:pPr>
        <w:pStyle w:val="Normal"/>
        <w:spacing w:after="200" w:line="276" w:lineRule="auto"/>
      </w:pPr>
      <w:r>
        <w:rPr>
          <w:sz w:val="24"/>
        </w:rPr>
        <w:t xml:space="preserve">DDL-2 only. Input parameter: desired DGS to give sensor control to [0=sensor control resides with default MIB selection, 1=override MIB selection and give sensor control to Ground Station #1, 2=override MIB selection and give sensor control to Ground Station #2]</w:t>
      </w:r>
    </w:p>
    <w:p>
      <w:pPr>
        <w:pStyle w:val="Normal"/>
        <w:spacing w:after="200" w:line="276" w:lineRule="auto"/>
      </w:pPr>
      <w:r>
        <w:rPr>
          <w:sz w:val="24"/>
        </w:rPr>
        <w:t xml:space="preserve">Input parameter: desired test target mode</w:t>
      </w:r>
    </w:p>
    <w:p>
      <w:pPr>
        <w:pStyle w:val="Normal"/>
        <w:spacing w:after="200" w:line="276" w:lineRule="auto"/>
      </w:pPr>
      <w:r>
        <w:rPr>
          <w:sz w:val="24"/>
        </w:rPr>
        <w:t xml:space="preserve">Input parameter: desired AGC setting for the test target mode selected via CDU Reset 96</w:t>
      </w:r>
    </w:p>
    <w:p>
      <w:pPr>
        <w:pStyle w:val="Normal"/>
        <w:spacing w:after="200" w:line="276" w:lineRule="auto"/>
      </w:pPr>
      <w:r>
        <w:rPr>
          <w:sz w:val="24"/>
        </w:rPr>
        <w:t xml:space="preserve">Input parameter: REC LRU serial number from the LRU label</w:t>
      </w:r>
    </w:p>
    <w:p>
      <w:pPr>
        <w:pStyle w:val="Normal"/>
        <w:spacing w:after="200" w:line="276" w:lineRule="auto"/>
      </w:pPr>
      <w:r>
        <w:rPr>
          <w:sz w:val="24"/>
        </w:rPr>
        <w:t xml:space="preserve">Input parameter: FEC Table ID number from the LRU label, indicates the set of waveform corrections that the REC loads and uses)</w:t>
      </w:r>
    </w:p>
    <w:p>
      <w:pPr>
        <w:pStyle w:val="Normal"/>
        <w:spacing w:after="200" w:line="276" w:lineRule="auto"/>
      </w:pPr>
      <w:r>
        <w:rPr>
          <w:sz w:val="24"/>
        </w:rPr>
        <w:t xml:space="preserve">FCD Downlink Rate</w:t>
      </w:r>
    </w:p>
    <w:p>
      <w:pPr>
        <w:pStyle w:val="Normal"/>
        <w:spacing w:after="200" w:line="276" w:lineRule="auto"/>
      </w:pPr>
      <w:r>
        <w:rPr>
          <w:sz w:val="24"/>
        </w:rPr>
        <w:t xml:space="preserve">The flight-condition-data downlink rate can be varied using a slider bar on the uplink GUI window. The default downlink rate should be appropriate for all uses. This is used for field troubleshooting and evaluation by Raytheon personnel.</w:t>
      </w:r>
    </w:p>
    <w:p>
      <w:pPr>
        <w:pStyle w:val="Normal"/>
        <w:spacing w:after="200" w:line="276" w:lineRule="auto"/>
      </w:pPr>
      <w:r>
        <w:rPr>
          <w:sz w:val="24"/>
        </w:rPr>
        <w:t xml:space="preserve">Uplink Cancel</w:t>
      </w:r>
    </w:p>
    <w:p>
      <w:pPr>
        <w:pStyle w:val="Normal"/>
        <w:spacing w:after="200" w:line="276" w:lineRule="auto"/>
      </w:pPr>
      <w:r>
        <w:rPr>
          <w:sz w:val="24"/>
        </w:rPr>
        <w:t xml:space="preserve">Uplink Cancel will cancel any pending uplink request from the DGS. Typically this is done when there is no connection between the DGS and OBP.</w:t>
      </w:r>
    </w:p>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MSU. </w:t>
            </w:r>
          </w:p>
        </w:tc>
        <w:tc>
          <w:tcPr>
            <w:tcW w:type="auto"/>
          </w:tcPr>
          <w:p>
            <w:pPr>
              <w:pStyle w:val="TableContents"/>
            </w:pPr>
            <w:r>
              <w:rPr>
                <w:sz w:val="22"/>
                <w:b/>
              </w:rPr>
              <w:t xml:space="preserve"> Figure  SEQ Figure \* ARABIC 78 SCWS Uplink MSU</w:t>
            </w:r>
          </w:p>
        </w:tc>
      </w:tr>
      <w:tr>
        <w:tc>
          <w:tcPr>
            <w:tcW w:type="auto"/>
          </w:tcPr>
          <w:p>
            <w:pPr>
              <w:pStyle w:val="TableContents"/>
            </w:pPr>
            <w:r>
              <w:rPr>
                <w:sz w:val="22"/>
              </w:rPr>
              <w:t xml:space="preserve">The Airborne Mass Storage Unit dialog box appears.</w:t>
            </w:r>
          </w:p>
        </w:tc>
        <w:tc>
          <w:tcPr>
            <w:tcW w:type="auto"/>
          </w:tcPr>
          <w:p>
            <w:pPr>
              <w:pStyle w:val="TableContents"/>
            </w:pPr>
            <w:r>
              <w:rPr>
                <w:sz w:val="22"/>
              </w:rPr>
              <w:t xml:space="preserve"> Figure  SEQ Figure \* ARABIC 79 SCWS Airborne Mass Storage Unit</w:t>
            </w:r>
          </w:p>
        </w:tc>
      </w:tr>
      <w:tr>
        <w:tc>
          <w:tcPr>
            <w:tcW w:type="auto"/>
          </w:tcPr>
          <w:p>
            <w:pPr>
              <w:pStyle w:val="TableContents"/>
            </w:pPr>
            <w:r>
              <w:rPr>
                <w:sz w:val="22"/>
              </w:rPr>
              <w:t xml:space="preserve">Stop Recording Click Stop button -- Confirmation window appears.  Select OK to request to MSU to Stop Recording and close Confirmation window. Select Cancel to close confirmation window without issuing a stopping MSU recording request.</w:t>
            </w:r>
          </w:p>
        </w:tc>
        <w:tc>
          <w:tcPr>
            <w:tcW w:type="auto"/>
          </w:tcPr>
          <w:p>
            <w:pPr>
              <w:pStyle w:val="TableContents"/>
            </w:pPr>
            <w:r>
              <w:rPr>
                <w:sz w:val="22"/>
              </w:rPr>
              <w:t xml:space="preserve"> Figure  SEQ Figure \* ARABIC 80 SCWS Airborne Mass Storage Unit Confirmation Dialog </w:t>
            </w:r>
          </w:p>
        </w:tc>
      </w:tr>
      <w:tr>
        <w:tc>
          <w:tcPr>
            <w:tcW w:type="auto"/>
          </w:tcPr>
          <w:p>
            <w:pPr>
              <w:pStyle w:val="TableContents"/>
            </w:pPr>
            <w:r>
              <w:rPr>
                <w:sz w:val="22"/>
              </w:rPr>
              <w:t xml:space="preserve">Play used for playback of MSU Click Play button -- Dialog box appears.  Playback options : Current Location: Playback from MSU current location Address : Enter MSU address to start playback Scene List: Comma delimited scene list (1,3,5 or 1-5, 10-11) Start Scene: Starting Scene number and number of scenes  Types of MSU data to playback: VPH/AUX NITF ARS Messages  Then, Select OK to send playback request and close Playback dialog box. Select Cancel to close Playback dialog box without issuing any playback request.</w:t>
            </w:r>
          </w:p>
        </w:tc>
        <w:tc>
          <w:tcPr>
            <w:tcW w:type="auto"/>
          </w:tcPr>
          <w:p>
            <w:pPr>
              <w:pStyle w:val="TableContents"/>
            </w:pPr>
            <w:r>
              <w:rPr>
                <w:sz w:val="22"/>
              </w:rPr>
              <w:t xml:space="preserve"> Figure  SEQ Figure \* ARABIC 81 SCWS Airborne MSU Playback</w:t>
            </w:r>
          </w:p>
        </w:tc>
      </w:tr>
      <w:tr>
        <w:tc>
          <w:tcPr>
            <w:tcW w:type="auto"/>
          </w:tcPr>
          <w:p>
            <w:pPr>
              <w:pStyle w:val="TableContents"/>
            </w:pPr>
            <w:r>
              <w:rPr>
                <w:sz w:val="22"/>
              </w:rPr>
              <w:t xml:space="preserve">Position Click Position button -- dialog box appears. Position the MSU End of Data or at a scan address.  Select OK to complete request and close Position dialog box. Select Cancel to close the Position dialog box without issuing positioning the MSU request.</w:t>
            </w:r>
          </w:p>
        </w:tc>
        <w:tc>
          <w:tcPr>
            <w:tcW w:type="auto"/>
          </w:tcPr>
          <w:p>
            <w:pPr>
              <w:pStyle w:val="TableContents"/>
            </w:pPr>
            <w:r>
              <w:rPr>
                <w:sz w:val="22"/>
              </w:rPr>
              <w:t xml:space="preserve"> Figure  SEQ Figure \* ARABIC 82 SCWS Airborne MSU Position Dialog</w:t>
            </w:r>
          </w:p>
        </w:tc>
      </w:tr>
      <w:tr>
        <w:tc>
          <w:tcPr>
            <w:tcW w:type="auto"/>
          </w:tcPr>
          <w:p>
            <w:pPr>
              <w:pStyle w:val="TableContents"/>
            </w:pPr>
            <w:r>
              <w:rPr>
                <w:sz w:val="22"/>
              </w:rPr>
              <w:t xml:space="preserve">Record Click Record button -- dialog box appears. Start MSU Recording at: Current Location MSU Address  Finally, Select OK to complete request and close Record dialog box. Select Cancel to close the Record dialog box without issuing a positioning request</w:t>
            </w:r>
          </w:p>
        </w:tc>
        <w:tc>
          <w:tcPr>
            <w:tcW w:type="auto"/>
          </w:tcPr>
          <w:p>
            <w:pPr>
              <w:pStyle w:val="TableContents"/>
            </w:pPr>
            <w:r>
              <w:rPr>
                <w:sz w:val="22"/>
              </w:rPr>
              <w:t xml:space="preserve"> Figure  SEQ Figure \* ARABIC 83 SCWS MSU Record Dialog</w:t>
            </w:r>
          </w:p>
        </w:tc>
      </w:tr>
      <w:tr>
        <w:tc>
          <w:tcPr>
            <w:tcW w:type="auto"/>
          </w:tcPr>
          <w:p>
            <w:pPr>
              <w:pStyle w:val="TableContents"/>
            </w:pPr>
            <w:r>
              <w:rPr>
                <w:sz w:val="22"/>
              </w:rPr>
              <w:t xml:space="preserve">Rewind Click Rewind button – Confirmation window appears.   Select OK to rewind to MSU to address 0 and close Confirmation window. Select Cancel to close the Rewind Confirmation window without issuing a rewind request.</w:t>
            </w:r>
          </w:p>
        </w:tc>
        <w:tc>
          <w:tcPr>
            <w:tcW w:type="auto"/>
          </w:tcPr>
          <w:p>
            <w:pPr>
              <w:pStyle w:val="TableContents"/>
            </w:pPr>
            <w:r>
              <w:rPr>
                <w:sz w:val="22"/>
              </w:rPr>
              <w:t xml:space="preserve"> Figure  SEQ Figure \* ARABIC 84 SCWS MSU Rewind Confirmation</w:t>
            </w:r>
          </w:p>
        </w:tc>
      </w:tr>
      <w:tr>
        <w:tc>
          <w:tcPr>
            <w:tcW w:type="auto"/>
          </w:tcPr>
          <w:p>
            <w:pPr>
              <w:pStyle w:val="TableContents"/>
            </w:pPr>
            <w:r>
              <w:rPr>
                <w:sz w:val="22"/>
              </w:rPr>
              <w:t xml:space="preserve">Request Directory Click Request Directory button – Confirmation window appears.   Select OK to request MSU directory and close Confirmation window. Select Cancel to close the Confirmation window without issuing a Request Directory request.</w:t>
            </w:r>
          </w:p>
        </w:tc>
        <w:tc>
          <w:tcPr>
            <w:tcW w:type="auto"/>
          </w:tcPr>
          <w:p>
            <w:pPr>
              <w:pStyle w:val="TableContents"/>
            </w:pPr>
            <w:r>
              <w:rPr>
                <w:sz w:val="22"/>
              </w:rPr>
              <w:t xml:space="preserve"> Figure  SEQ Figure \* ARABIC 85 SCWS MSU Request Directory Dialog</w:t>
            </w:r>
          </w:p>
        </w:tc>
      </w:tr>
      <w:tr>
        <w:tc>
          <w:tcPr>
            <w:tcW w:type="auto"/>
          </w:tcPr>
          <w:p>
            <w:pPr>
              <w:pStyle w:val="TableContents"/>
            </w:pPr>
            <w:r>
              <w:rPr>
                <w:sz w:val="22"/>
              </w:rPr>
              <w:t xml:space="preserve">Click Done to close the Airborne Mass Storage Unit dialog box.</w:t>
            </w:r>
          </w:p>
        </w:tc>
        <w:tc>
          <w:tcPr>
            <w:tcW w:type="auto"/>
          </w:tcPr>
          <w:p>
            <w:pPr>
              <w:pStyle w:val="TableContents"/>
            </w:pPr>
            <w:r>
              <w:rPr>
                <w:sz w:val="22"/>
              </w:rPr>
              <w:t xml:space="preserve"> Figure  SEQ Figure \* ARABIC 86 SCWS MSU - Closing the MSU Window</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REC, then select Scene Abort.</w:t>
            </w:r>
          </w:p>
        </w:tc>
        <w:tc>
          <w:tcPr>
            <w:tcW w:type="auto"/>
          </w:tcPr>
          <w:p>
            <w:pPr>
              <w:pStyle w:val="TableContents"/>
            </w:pPr>
            <w:r>
              <w:rPr>
                <w:sz w:val="22"/>
                <w:b/>
              </w:rPr>
              <w:t xml:space="preserve"> Figure  SEQ Figure \* ARABIC 87 SCWS Uplink REC Scene Abort </w:t>
            </w:r>
          </w:p>
        </w:tc>
      </w:tr>
      <w:tr>
        <w:tc>
          <w:tcPr>
            <w:tcW w:type="auto"/>
          </w:tcPr>
          <w:p>
            <w:pPr>
              <w:pStyle w:val="TableContents"/>
            </w:pPr>
            <w:r>
              <w:rPr>
                <w:sz w:val="22"/>
              </w:rPr>
              <w:t xml:space="preserve">A Scene Abort Confirmation window appears.  Select OK to request the REC to abort scene and close the confirmation window. Select Apply to abort scene and leave the confirmation window open. Select Cancel to close the window without scene abort.</w:t>
            </w:r>
          </w:p>
        </w:tc>
        <w:tc>
          <w:tcPr>
            <w:tcW w:type="auto"/>
          </w:tcPr>
          <w:p>
            <w:pPr>
              <w:pStyle w:val="TableContents"/>
            </w:pPr>
            <w:r>
              <w:rPr>
                <w:sz w:val="22"/>
              </w:rPr>
              <w:t xml:space="preserve"> Figure  SEQ Figure \* ARABIC 88 SCWS Uplink REC Scene Abort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A test target is sometimes referred to as End-to-End test. It verifies functionality of the system by using an internal test waveform based on the menu selection. The signal is not radiated. Commanding a Point Image (PI) or Enhanced Point Image (EPI) test target with detected or complex processing will result in a dot image being received in the SCWS display after it is processed and downlinked to the ground. This test is especially effective for pre-flight checks and other ground testing. Detected PI/EPI Test Target processing is performed during pre-flight checkout to verify uplink, image processing, and image downlink.</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REC, then select Test Target.</w:t>
            </w:r>
          </w:p>
        </w:tc>
        <w:tc>
          <w:tcPr>
            <w:tcW w:type="auto"/>
          </w:tcPr>
          <w:p>
            <w:pPr>
              <w:pStyle w:val="TableContents"/>
            </w:pPr>
            <w:r>
              <w:rPr>
                <w:sz w:val="22"/>
                <w:b/>
              </w:rPr>
              <w:t xml:space="preserve"> Figure  SEQ Figure \* ARABIC 89 SCWS Uplink REC Test Target</w:t>
            </w:r>
          </w:p>
        </w:tc>
      </w:tr>
      <w:tr>
        <w:tc>
          <w:tcPr>
            <w:tcW w:type="auto"/>
          </w:tcPr>
          <w:p>
            <w:pPr>
              <w:pStyle w:val="TableContents"/>
            </w:pPr>
            <w:r>
              <w:rPr>
                <w:sz w:val="22"/>
              </w:rPr>
              <w:t xml:space="preserve">The Test Target dialog box then appears. Modify desired test target values:  Mode Search : Coarse, Medium or High Res Pt Imaging (Chirped or Dechirped) Enhanced Pt Imaging (Chirped or Dechirped)  Narrow Spot (Chirped or Dechirped) Wide Spot (Chirped or Dechirped) GMTI Modes  Array Mode:  REC submodes related to PRF Selection, pulse width and sampling rate. See Table 9 for Array Modes.  Processing Options None Detected Complex E2E Statistical Analysis Recording Options None Record VPH/AUX Record NITF  Path Upconvert : Utilize the Upconverter BIT path Transmitter : Utilize the Transmitter BIT path Antenna : Utilize the Antenna BIT path  AGC Options:  Option to specify how AGC shall be implemented. User Specify : AGC may be user-specified Auto AGC : Automatically calculated using an iterative algorithm between the REC and OBP File AGC: Read from a file within the REC REC AGC : Calculated using a REC internal algorithm  Dselect:  Dselect options: Pre-defined collection of differing D-Select options. Default is option 2  Select OK to request a test target for the REC to generate and close the confirmation window. Select Apply to request a test target for the REC to generate and leave the confirmation window open. Select Cancel to close the window without requesting a test target.</w:t>
            </w:r>
          </w:p>
        </w:tc>
        <w:tc>
          <w:tcPr>
            <w:tcW w:type="auto"/>
          </w:tcPr>
          <w:p>
            <w:pPr>
              <w:pStyle w:val="TableContents"/>
            </w:pPr>
            <w:r>
              <w:rPr>
                <w:sz w:val="22"/>
              </w:rPr>
              <w:t xml:space="preserve">  Figure  SEQ Figure \* ARABIC 90 SCWS Uplink REC Test Target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Pt Imaging</w:t>
            </w:r>
          </w:p>
        </w:tc>
        <w:tc>
          <w:tcPr>
            <w:tcW w:type="auto"/>
          </w:tcPr>
          <w:p>
            <w:pPr>
              <w:pStyle w:val="TableContents"/>
            </w:pPr>
            <w:r>
              <w:rPr>
                <w:sz w:val="22"/>
                <w:b/>
              </w:rPr>
              <w:t xml:space="preserve">Pt Imaging A  Pt Imaging B</w:t>
            </w:r>
          </w:p>
        </w:tc>
      </w:tr>
      <w:tr>
        <w:tc>
          <w:tcPr>
            <w:tcW w:type="auto"/>
          </w:tcPr>
          <w:p>
            <w:pPr>
              <w:pStyle w:val="TableContents"/>
            </w:pPr>
            <w:r>
              <w:rPr>
                <w:sz w:val="22"/>
              </w:rPr>
              <w:t xml:space="preserve">Enhanced Pt Imaging</w:t>
            </w:r>
          </w:p>
        </w:tc>
        <w:tc>
          <w:tcPr>
            <w:tcW w:type="auto"/>
          </w:tcPr>
          <w:p>
            <w:pPr>
              <w:pStyle w:val="TableContents"/>
            </w:pPr>
            <w:r>
              <w:rPr>
                <w:sz w:val="22"/>
              </w:rPr>
              <w:t xml:space="preserve">Enhanced Pt Imaging A Enhanced Pt Imaging B</w:t>
            </w:r>
          </w:p>
        </w:tc>
      </w:tr>
      <w:tr>
        <w:tc>
          <w:tcPr>
            <w:tcW w:type="auto"/>
          </w:tcPr>
          <w:p>
            <w:pPr>
              <w:pStyle w:val="TableContents"/>
            </w:pPr>
            <w:r>
              <w:rPr>
                <w:sz w:val="22"/>
              </w:rPr>
              <w:t xml:space="preserve">Search: Coarse,  Medium,  High Res</w:t>
            </w:r>
          </w:p>
        </w:tc>
        <w:tc>
          <w:tcPr>
            <w:tcW w:type="auto"/>
          </w:tcPr>
          <w:p>
            <w:pPr>
              <w:pStyle w:val="TableContents"/>
            </w:pPr>
            <w:r>
              <w:rPr>
                <w:sz w:val="22"/>
              </w:rPr>
              <w:t xml:space="preserve">LSearch F1 A  LSearch F1 B LSearch F1 C LSearch F2 A LSearch F2 B LSearch F2 C LSearch F2 D MSearch F1 A MSearch F1 B MSearch F1 C MSearch F1 D MSearch F2 A MSearch F2 B MSearch F2 C MSearch F2 D MSearch F2 E HSearch F1 A HSearch F1 B HSearch F1 C HSearch F1 D HSearch F1 E HSearch F1 F HSearch F2 A HSearch F2 B HSearch F2 C HSearch F2 D HSearch F2 E HSearch F2 F HSearch F2 G HSearch F2 H</w:t>
            </w:r>
          </w:p>
        </w:tc>
      </w:tr>
      <w:tr>
        <w:tc>
          <w:tcPr>
            <w:tcW w:type="auto"/>
          </w:tcPr>
          <w:p>
            <w:pPr>
              <w:pStyle w:val="TableContents"/>
            </w:pPr>
            <w:r>
              <w:rPr>
                <w:sz w:val="22"/>
              </w:rPr>
              <w:t xml:space="preserve">GMTI</w:t>
            </w:r>
          </w:p>
        </w:tc>
        <w:tc>
          <w:tcPr>
            <w:tcW w:type="auto"/>
          </w:tcPr>
          <w:p>
            <w:pPr>
              <w:pStyle w:val="TableContents"/>
            </w:pPr>
            <w:r>
              <w:rPr>
                <w:sz w:val="22"/>
              </w:rPr>
              <w:t xml:space="preserve">N1 GMTI 1A X1 GMTI 1B N2 GMTI 1C X2 GMTI 1D N1 GMTI 2A X1 GMTI 2B N2 GMTI 2C X2 GMTI 2D N1 GMTI 3A X1 GMTI 3B N2 GMTI 3C X2 GMTI 3D N1 GMTI 4A X1 GMTI 4B N2 GMTI 4C X2 GMTI 4D N1 GMTI 4E X1 GMTI 4F N2 GMTI 4G X2 GMTI 4H N1 GMTI 5A X1 GMTI 5B N2 GMTI 5C X2 GMTI 5D N1 GMTI 5E X1 GMTI 5F N2 GMTI 5G X2 GMTI 5H N1 GMTI 6A X1 GMTI 6B N2 GMTI 6C X2 GMTI 6D N1 GMTI 7A X1 GMTI 7B N2 GMTI 7C X2 GMTI 7D N1 GMTI 8A X1 GMTI 8B N2 GMTI 8C X2 GMTI 8D N1 GMTI 9A X1 GMTI 9B N2 GMTI 9C X2 GMTI 9D N1 GMTI 9E X1 GMTI 9F N2 GMTI 9G X2 GMTI 9H</w:t>
            </w:r>
          </w:p>
        </w:tc>
      </w:tr>
      <w:tr>
        <w:tc>
          <w:tcPr>
            <w:tcW w:type="auto"/>
          </w:tcPr>
          <w:p>
            <w:pPr>
              <w:pStyle w:val="TableContents"/>
            </w:pPr>
            <w:r>
              <w:rPr>
                <w:sz w:val="22"/>
              </w:rPr>
              <w:t xml:space="preserve">Narrow Spot</w:t>
            </w:r>
          </w:p>
        </w:tc>
        <w:tc>
          <w:tcPr>
            <w:tcW w:type="auto"/>
          </w:tcPr>
          <w:p>
            <w:pPr>
              <w:pStyle w:val="TableContents"/>
            </w:pPr>
            <w:r>
              <w:rPr>
                <w:sz w:val="22"/>
              </w:rPr>
              <w:t xml:space="preserve">2A Narrow Spot 2A Narrow L Spot</w:t>
            </w:r>
          </w:p>
        </w:tc>
      </w:tr>
      <w:tr>
        <w:tc>
          <w:tcPr>
            <w:tcW w:type="auto"/>
          </w:tcPr>
          <w:p>
            <w:pPr>
              <w:pStyle w:val="TableContents"/>
            </w:pPr>
            <w:r>
              <w:rPr>
                <w:sz w:val="22"/>
              </w:rPr>
              <w:t xml:space="preserve">Wide Spot</w:t>
            </w:r>
          </w:p>
        </w:tc>
        <w:tc>
          <w:tcPr>
            <w:tcW w:type="auto"/>
          </w:tcPr>
          <w:p>
            <w:pPr>
              <w:pStyle w:val="TableContents"/>
            </w:pPr>
            <w:r>
              <w:rPr>
                <w:sz w:val="22"/>
              </w:rPr>
              <w:t xml:space="preserve">2A Wide Spot 2A Wide Spot L</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SCWS, select the Uplink button, select REC, then select Boresight Adjust.</w:t>
            </w:r>
          </w:p>
        </w:tc>
        <w:tc>
          <w:tcPr>
            <w:tcW w:type="auto"/>
          </w:tcPr>
          <w:p>
            <w:pPr>
              <w:pStyle w:val="TableContents"/>
            </w:pPr>
            <w:r>
              <w:rPr>
                <w:sz w:val="22"/>
                <w:b/>
              </w:rPr>
              <w:t xml:space="preserve"> Figure  SEQ Figure \* ARABIC 91 SCWS Uplink REC Boresight Adjust</w:t>
            </w:r>
          </w:p>
        </w:tc>
      </w:tr>
      <w:tr>
        <w:tc>
          <w:tcPr>
            <w:tcW w:type="auto"/>
          </w:tcPr>
          <w:p>
            <w:pPr>
              <w:pStyle w:val="TableContents"/>
            </w:pPr>
            <w:r>
              <w:rPr>
                <w:sz w:val="22"/>
              </w:rPr>
              <w:t xml:space="preserve">The Boresight Adjust dialog box appears. Az Offset options Degrees Radians Left offset Right offset  Multiplicative Constants Left  Right  Select OK to request the Boresight Adjustment and close the dialog box. Select Apply to request the Boresight Adjustment and leave the dialog box open. Select Cancel to close the dialog box without issuing a Boresight Adjustment request.</w:t>
            </w:r>
          </w:p>
        </w:tc>
        <w:tc>
          <w:tcPr>
            <w:tcW w:type="auto"/>
          </w:tcPr>
          <w:p>
            <w:pPr>
              <w:pStyle w:val="TableContents"/>
            </w:pPr>
            <w:r>
              <w:rPr>
                <w:sz w:val="22"/>
              </w:rPr>
              <w:t xml:space="preserve"> Figure  SEQ Figure \* ARABIC 92 SCWS Uplink REC Boresight Adjust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SCWS, select the Uplink button, select REC, then select REC Reset.</w:t>
            </w:r>
          </w:p>
        </w:tc>
        <w:tc>
          <w:tcPr>
            <w:tcW w:type="auto"/>
          </w:tcPr>
          <w:p>
            <w:pPr>
              <w:pStyle w:val="TableContents"/>
            </w:pPr>
            <w:r>
              <w:rPr>
                <w:sz w:val="22"/>
                <w:b/>
              </w:rPr>
              <w:t xml:space="preserve"> Figure  SEQ Figure \* ARABIC 93 SCWS Uplink REC - REC Reset</w:t>
            </w:r>
          </w:p>
        </w:tc>
      </w:tr>
      <w:tr>
        <w:tc>
          <w:tcPr>
            <w:tcW w:type="auto"/>
          </w:tcPr>
          <w:p>
            <w:pPr>
              <w:pStyle w:val="TableContents"/>
            </w:pPr>
            <w:r>
              <w:rPr>
                <w:sz w:val="22"/>
              </w:rPr>
              <w:t xml:space="preserve">The REC Reset Confirmation window appears.   Select OK to request the REC Reset and close the confirmation window. Select Apply to request the REC Reset and leave the confirmation window open. Select Cancel to close the window without REC Reset.</w:t>
            </w:r>
          </w:p>
        </w:tc>
        <w:tc>
          <w:tcPr>
            <w:tcW w:type="auto"/>
          </w:tcPr>
          <w:p>
            <w:pPr>
              <w:pStyle w:val="TableContents"/>
            </w:pPr>
            <w:r>
              <w:rPr>
                <w:sz w:val="22"/>
              </w:rPr>
              <w:t xml:space="preserve"> Figure  SEQ Figure \* ARABIC 94 SCWS Uplink REC - REC Reset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SCWS, select the Uplink button, select REC, then select REC VME Reset.</w:t>
            </w:r>
          </w:p>
        </w:tc>
        <w:tc>
          <w:tcPr>
            <w:tcW w:type="auto"/>
          </w:tcPr>
          <w:p>
            <w:pPr>
              <w:pStyle w:val="TableContents"/>
            </w:pPr>
            <w:r>
              <w:rPr>
                <w:sz w:val="22"/>
                <w:b/>
              </w:rPr>
              <w:t xml:space="preserve"> Figure  SEQ Figure \* ARABIC 95 SCWS Uplink REC - REC VME Reset</w:t>
            </w:r>
          </w:p>
        </w:tc>
      </w:tr>
      <w:tr>
        <w:tc>
          <w:tcPr>
            <w:tcW w:type="auto"/>
          </w:tcPr>
          <w:p>
            <w:pPr>
              <w:pStyle w:val="TableContents"/>
            </w:pPr>
            <w:r>
              <w:rPr>
                <w:sz w:val="22"/>
              </w:rPr>
              <w:t xml:space="preserve">The REC VME Reset Confirmation window appears.  Select OK to request the REC VME Reset and close the confirmation window. Select Apply to request the REC VME Reset and leave the confirmation window open. Select Cancel to close the window without REC VME Reset.</w:t>
            </w:r>
          </w:p>
        </w:tc>
        <w:tc>
          <w:tcPr>
            <w:tcW w:type="auto"/>
          </w:tcPr>
          <w:p>
            <w:pPr>
              <w:pStyle w:val="TableContents"/>
            </w:pPr>
            <w:r>
              <w:rPr>
                <w:sz w:val="22"/>
              </w:rPr>
              <w:t xml:space="preserve"> Figure  SEQ Figure \* ARABIC 96 SCWS Uplink REC - REC VME Reset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SCWS, select the Uplink button, select REC, then select ARS Data Request.</w:t>
            </w:r>
          </w:p>
        </w:tc>
        <w:tc>
          <w:tcPr>
            <w:tcW w:type="auto"/>
          </w:tcPr>
          <w:p>
            <w:pPr>
              <w:pStyle w:val="TableContents"/>
            </w:pPr>
            <w:r>
              <w:rPr>
                <w:sz w:val="22"/>
                <w:b/>
              </w:rPr>
              <w:t xml:space="preserve"> Figure  SEQ Figure \* ARABIC 97 SCWS Uplink REC ARS Data Request</w:t>
            </w:r>
          </w:p>
        </w:tc>
      </w:tr>
      <w:tr>
        <w:tc>
          <w:tcPr>
            <w:tcW w:type="auto"/>
          </w:tcPr>
          <w:p>
            <w:pPr>
              <w:pStyle w:val="TableContents"/>
            </w:pPr>
            <w:r>
              <w:rPr>
                <w:sz w:val="22"/>
              </w:rPr>
              <w:t xml:space="preserve">The ARS Data Request Confirmation window appears.   Select OK to request the ARS Data Request and close the confirmation window. Select Apply to request the ARS Data Request and leave the confirmation window open. Select Cancel to close the window without issuing ARS Data Request.</w:t>
            </w:r>
          </w:p>
        </w:tc>
        <w:tc>
          <w:tcPr>
            <w:tcW w:type="auto"/>
          </w:tcPr>
          <w:p>
            <w:pPr>
              <w:pStyle w:val="TableContents"/>
            </w:pPr>
            <w:r>
              <w:rPr>
                <w:sz w:val="22"/>
              </w:rPr>
              <w:t xml:space="preserve"> Figure  SEQ Figure \* ARABIC 98 SCWS Uplink REC ARS Data Request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SCWS, select the Uplink button, select REC, then select CDU Reset. </w:t>
            </w:r>
          </w:p>
        </w:tc>
        <w:tc>
          <w:tcPr>
            <w:tcW w:type="auto"/>
          </w:tcPr>
          <w:p>
            <w:pPr>
              <w:pStyle w:val="TableContents"/>
            </w:pPr>
            <w:r>
              <w:rPr>
                <w:sz w:val="22"/>
                <w:b/>
              </w:rPr>
              <w:t xml:space="preserve"> Figure  SEQ Figure \* ARABIC 99 SCWS Uplink REC CDU Reset</w:t>
            </w:r>
          </w:p>
        </w:tc>
      </w:tr>
      <w:tr>
        <w:tc>
          <w:tcPr>
            <w:tcW w:type="auto"/>
          </w:tcPr>
          <w:p>
            <w:pPr>
              <w:pStyle w:val="TableContents"/>
            </w:pPr>
            <w:r>
              <w:rPr>
                <w:sz w:val="22"/>
              </w:rPr>
              <w:t xml:space="preserve">The CDU Reset dialog box appears. </w:t>
            </w:r>
          </w:p>
        </w:tc>
        <w:tc>
          <w:tcPr>
            <w:tcW w:type="auto"/>
          </w:tcPr>
          <w:p>
            <w:pPr>
              <w:pStyle w:val="TableContents"/>
            </w:pPr>
            <w:r>
              <w:rPr>
                <w:sz w:val="22"/>
              </w:rPr>
              <w:t xml:space="preserve"> Figure  SEQ Figure \* ARABIC 100 SCWS Uplink REC CDU Reset Dialog</w:t>
            </w:r>
          </w:p>
        </w:tc>
      </w:tr>
      <w:tr>
        <w:tc>
          <w:tcPr>
            <w:tcW w:type="auto"/>
          </w:tcPr>
          <w:p>
            <w:pPr>
              <w:pStyle w:val="TableContents"/>
            </w:pPr>
            <w:r>
              <w:rPr>
                <w:sz w:val="22"/>
              </w:rPr>
              <w:t xml:space="preserve">In the CDU Reset dialog box, select Show List button to display a list of all possible CDU Resets.    The CDU Reset List window appears, listing all CDU Reset command options. Scroll to desired reset command and select a CDU reset from the list: Single click or use arrow keys to select  Double click or hit Enter to select and close window Select Close button to close the CDU Reset List window.  In CDU Reset window:  In the CDU Reset Command [1-99] field, enter the CDU Reset number to explicitly select a particular reset.  If an input parameter is required (resets 89 through 91 and 95 through 99), enter the command input parameter in the Command Param (Optional) field  Select OK to send the selected CDU Reset and close the CDU Reset dialog box Select Apply to send the selected CDU Reset and leave the CDU Reset dialog box open. Select Cancel to close the CDU Reset dialog box and not send the currently selected CDU Reset. </w:t>
            </w:r>
          </w:p>
        </w:tc>
        <w:tc>
          <w:tcPr>
            <w:tcW w:type="auto"/>
          </w:tcPr>
          <w:p>
            <w:pPr>
              <w:pStyle w:val="TableContents"/>
            </w:pPr>
            <w:r>
              <w:rPr>
                <w:sz w:val="22"/>
              </w:rPr>
              <w:t xml:space="preserve">  Figure  SEQ Figure \* ARABIC 101 SCWS Uplink REC CDU Reset List</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Reset #</w:t>
            </w:r>
          </w:p>
        </w:tc>
        <w:tc>
          <w:tcPr>
            <w:tcW w:type="auto"/>
          </w:tcPr>
          <w:p>
            <w:pPr>
              <w:pStyle w:val="TableContents"/>
            </w:pPr>
            <w:r>
              <w:rPr>
                <w:sz w:val="22"/>
                <w:b/>
              </w:rPr>
              <w:t xml:space="preserve">Description</w:t>
            </w:r>
          </w:p>
        </w:tc>
        <w:tc>
          <w:tcPr>
            <w:tcW w:type="auto"/>
          </w:tcPr>
          <w:p>
            <w:pPr>
              <w:pStyle w:val="TableContents"/>
            </w:pPr>
            <w:r>
              <w:rPr>
                <w:sz w:val="22"/>
                <w:b/>
              </w:rPr>
              <w:t xml:space="preserve">Reset #</w:t>
            </w:r>
          </w:p>
        </w:tc>
        <w:tc>
          <w:tcPr>
            <w:tcW w:type="auto"/>
          </w:tcPr>
          <w:p>
            <w:pPr>
              <w:pStyle w:val="TableContents"/>
            </w:pPr>
            <w:r>
              <w:rPr>
                <w:sz w:val="22"/>
                <w:b/>
              </w:rPr>
              <w:t xml:space="preserve">Description</w:t>
            </w:r>
          </w:p>
        </w:tc>
      </w:tr>
      <w:tr>
        <w:tc>
          <w:tcPr>
            <w:tcW w:type="auto"/>
          </w:tcPr>
          <w:p>
            <w:pPr>
              <w:pStyle w:val="TableContents"/>
            </w:pPr>
            <w:r>
              <w:rPr>
                <w:sz w:val="22"/>
              </w:rPr>
              <w:t xml:space="preserve">2</w:t>
            </w:r>
          </w:p>
        </w:tc>
        <w:tc>
          <w:tcPr>
            <w:tcW w:type="auto"/>
          </w:tcPr>
          <w:p>
            <w:pPr>
              <w:pStyle w:val="TableContents"/>
            </w:pPr>
            <w:r>
              <w:rPr>
                <w:sz w:val="22"/>
              </w:rPr>
              <w:t xml:space="preserve">REC BIT Fault Reset</w:t>
            </w:r>
          </w:p>
        </w:tc>
        <w:tc>
          <w:tcPr>
            <w:tcW w:type="auto"/>
          </w:tcPr>
          <w:p>
            <w:pPr>
              <w:pStyle w:val="TableContents"/>
            </w:pPr>
            <w:r>
              <w:rPr>
                <w:sz w:val="22"/>
              </w:rPr>
              <w:t xml:space="preserve">40</w:t>
            </w:r>
          </w:p>
        </w:tc>
        <w:tc>
          <w:tcPr>
            <w:tcW w:type="auto"/>
          </w:tcPr>
          <w:p>
            <w:pPr>
              <w:pStyle w:val="TableContents"/>
            </w:pPr>
            <w:r>
              <w:rPr>
                <w:sz w:val="22"/>
              </w:rPr>
              <w:t xml:space="preserve">Dynamic AGC Off (Search Mode)</w:t>
            </w:r>
          </w:p>
        </w:tc>
      </w:tr>
      <w:tr>
        <w:tc>
          <w:tcPr>
            <w:tcW w:type="auto"/>
          </w:tcPr>
          <w:p>
            <w:pPr>
              <w:pStyle w:val="TableContents"/>
            </w:pPr>
            <w:r>
              <w:rPr>
                <w:sz w:val="22"/>
              </w:rPr>
              <w:t xml:space="preserve">4</w:t>
            </w:r>
          </w:p>
        </w:tc>
        <w:tc>
          <w:tcPr>
            <w:tcW w:type="auto"/>
          </w:tcPr>
          <w:p>
            <w:pPr>
              <w:pStyle w:val="TableContents"/>
            </w:pPr>
            <w:r>
              <w:rPr>
                <w:sz w:val="22"/>
              </w:rPr>
              <w:t xml:space="preserve">OBP VME Reset (Disabled) (b)</w:t>
            </w:r>
          </w:p>
        </w:tc>
        <w:tc>
          <w:tcPr>
            <w:tcW w:type="auto"/>
          </w:tcPr>
          <w:p>
            <w:pPr>
              <w:pStyle w:val="TableContents"/>
            </w:pPr>
            <w:r>
              <w:rPr>
                <w:sz w:val="22"/>
              </w:rPr>
              <w:t xml:space="preserve">41</w:t>
            </w:r>
          </w:p>
        </w:tc>
        <w:tc>
          <w:tcPr>
            <w:tcW w:type="auto"/>
          </w:tcPr>
          <w:p>
            <w:pPr>
              <w:pStyle w:val="TableContents"/>
            </w:pPr>
            <w:r>
              <w:rPr>
                <w:sz w:val="22"/>
              </w:rPr>
              <w:t xml:space="preserve">Dynamic AGC On (Search Mode)</w:t>
            </w:r>
          </w:p>
        </w:tc>
      </w:tr>
      <w:tr>
        <w:tc>
          <w:tcPr>
            <w:tcW w:type="auto"/>
          </w:tcPr>
          <w:p>
            <w:pPr>
              <w:pStyle w:val="TableContents"/>
            </w:pPr>
            <w:r>
              <w:rPr>
                <w:sz w:val="22"/>
              </w:rPr>
              <w:t xml:space="preserve">5</w:t>
            </w:r>
          </w:p>
        </w:tc>
        <w:tc>
          <w:tcPr>
            <w:tcW w:type="auto"/>
          </w:tcPr>
          <w:p>
            <w:pPr>
              <w:pStyle w:val="TableContents"/>
            </w:pPr>
            <w:r>
              <w:rPr>
                <w:sz w:val="22"/>
              </w:rPr>
              <w:t xml:space="preserve">REC VME Reset</w:t>
            </w:r>
          </w:p>
        </w:tc>
        <w:tc>
          <w:tcPr>
            <w:tcW w:type="auto"/>
          </w:tcPr>
          <w:p>
            <w:pPr>
              <w:pStyle w:val="TableContents"/>
            </w:pPr>
            <w:r>
              <w:rPr>
                <w:sz w:val="22"/>
              </w:rPr>
              <w:t xml:space="preserve">42</w:t>
            </w:r>
          </w:p>
        </w:tc>
        <w:tc>
          <w:tcPr>
            <w:tcW w:type="auto"/>
          </w:tcPr>
          <w:p>
            <w:pPr>
              <w:pStyle w:val="TableContents"/>
            </w:pPr>
            <w:r>
              <w:rPr>
                <w:sz w:val="22"/>
              </w:rPr>
              <w:t xml:space="preserve">DDS FEC Enable</w:t>
            </w:r>
          </w:p>
        </w:tc>
      </w:tr>
      <w:tr>
        <w:tc>
          <w:tcPr>
            <w:tcW w:type="auto"/>
          </w:tcPr>
          <w:p>
            <w:pPr>
              <w:pStyle w:val="TableContents"/>
            </w:pPr>
            <w:r>
              <w:rPr>
                <w:sz w:val="22"/>
              </w:rPr>
              <w:t xml:space="preserve">6</w:t>
            </w:r>
          </w:p>
        </w:tc>
        <w:tc>
          <w:tcPr>
            <w:tcW w:type="auto"/>
          </w:tcPr>
          <w:p>
            <w:pPr>
              <w:pStyle w:val="TableContents"/>
            </w:pPr>
            <w:r>
              <w:rPr>
                <w:sz w:val="22"/>
              </w:rPr>
              <w:t xml:space="preserve">Reattach SSA</w:t>
            </w:r>
          </w:p>
        </w:tc>
        <w:tc>
          <w:tcPr>
            <w:tcW w:type="auto"/>
          </w:tcPr>
          <w:p>
            <w:pPr>
              <w:pStyle w:val="TableContents"/>
            </w:pPr>
            <w:r>
              <w:rPr>
                <w:sz w:val="22"/>
              </w:rPr>
              <w:t xml:space="preserve">43</w:t>
            </w:r>
          </w:p>
        </w:tc>
        <w:tc>
          <w:tcPr>
            <w:tcW w:type="auto"/>
          </w:tcPr>
          <w:p>
            <w:pPr>
              <w:pStyle w:val="TableContents"/>
            </w:pPr>
            <w:r>
              <w:rPr>
                <w:sz w:val="22"/>
              </w:rPr>
              <w:t xml:space="preserve">DDS FEC Disable</w:t>
            </w:r>
          </w:p>
        </w:tc>
      </w:tr>
      <w:tr>
        <w:tc>
          <w:tcPr>
            <w:tcW w:type="auto"/>
          </w:tcPr>
          <w:p>
            <w:pPr>
              <w:pStyle w:val="TableContents"/>
            </w:pPr>
            <w:r>
              <w:rPr>
                <w:sz w:val="22"/>
              </w:rPr>
              <w:t xml:space="preserve">7</w:t>
            </w:r>
          </w:p>
        </w:tc>
        <w:tc>
          <w:tcPr>
            <w:tcW w:type="auto"/>
          </w:tcPr>
          <w:p>
            <w:pPr>
              <w:pStyle w:val="TableContents"/>
            </w:pPr>
            <w:r>
              <w:rPr>
                <w:sz w:val="22"/>
              </w:rPr>
              <w:t xml:space="preserve">Stop SSA</w:t>
            </w:r>
          </w:p>
        </w:tc>
        <w:tc>
          <w:tcPr>
            <w:tcW w:type="auto"/>
          </w:tcPr>
          <w:p>
            <w:pPr>
              <w:pStyle w:val="TableContents"/>
            </w:pPr>
            <w:r>
              <w:rPr>
                <w:sz w:val="22"/>
              </w:rPr>
              <w:t xml:space="preserve">44</w:t>
            </w:r>
          </w:p>
        </w:tc>
        <w:tc>
          <w:tcPr>
            <w:tcW w:type="auto"/>
          </w:tcPr>
          <w:p>
            <w:pPr>
              <w:pStyle w:val="TableContents"/>
            </w:pPr>
            <w:r>
              <w:rPr>
                <w:sz w:val="22"/>
              </w:rPr>
              <w:t xml:space="preserve">FEC Table Load Request</w:t>
            </w:r>
          </w:p>
        </w:tc>
      </w:tr>
      <w:tr>
        <w:tc>
          <w:tcPr>
            <w:tcW w:type="auto"/>
          </w:tcPr>
          <w:p>
            <w:pPr>
              <w:pStyle w:val="TableContents"/>
            </w:pPr>
            <w:r>
              <w:rPr>
                <w:sz w:val="22"/>
              </w:rPr>
              <w:t xml:space="preserve">8</w:t>
            </w:r>
          </w:p>
        </w:tc>
        <w:tc>
          <w:tcPr>
            <w:tcW w:type="auto"/>
          </w:tcPr>
          <w:p>
            <w:pPr>
              <w:pStyle w:val="TableContents"/>
            </w:pPr>
            <w:r>
              <w:rPr>
                <w:sz w:val="22"/>
              </w:rPr>
              <w:t xml:space="preserve">Rewind SSA</w:t>
            </w:r>
          </w:p>
        </w:tc>
        <w:tc>
          <w:tcPr>
            <w:tcW w:type="auto"/>
          </w:tcPr>
          <w:p>
            <w:pPr>
              <w:pStyle w:val="TableContents"/>
            </w:pPr>
            <w:r>
              <w:rPr>
                <w:sz w:val="22"/>
              </w:rPr>
              <w:t xml:space="preserve">45</w:t>
            </w:r>
          </w:p>
        </w:tc>
        <w:tc>
          <w:tcPr>
            <w:tcW w:type="auto"/>
          </w:tcPr>
          <w:p>
            <w:pPr>
              <w:pStyle w:val="TableContents"/>
            </w:pPr>
            <w:r>
              <w:rPr>
                <w:sz w:val="22"/>
              </w:rPr>
              <w:t xml:space="preserve">DC Bias Calibration Request</w:t>
            </w:r>
          </w:p>
        </w:tc>
      </w:tr>
      <w:tr>
        <w:tc>
          <w:tcPr>
            <w:tcW w:type="auto"/>
          </w:tcPr>
          <w:p>
            <w:pPr>
              <w:pStyle w:val="TableContents"/>
            </w:pPr>
            <w:r>
              <w:rPr>
                <w:sz w:val="22"/>
              </w:rPr>
              <w:t xml:space="preserve">9</w:t>
            </w:r>
          </w:p>
        </w:tc>
        <w:tc>
          <w:tcPr>
            <w:tcW w:type="auto"/>
          </w:tcPr>
          <w:p>
            <w:pPr>
              <w:pStyle w:val="TableContents"/>
            </w:pPr>
            <w:r>
              <w:rPr>
                <w:sz w:val="22"/>
              </w:rPr>
              <w:t xml:space="preserve">Abort Scene (via OBP)</w:t>
            </w:r>
          </w:p>
        </w:tc>
        <w:tc>
          <w:tcPr>
            <w:tcW w:type="auto"/>
          </w:tcPr>
          <w:p>
            <w:pPr>
              <w:pStyle w:val="TableContents"/>
            </w:pPr>
            <w:r>
              <w:rPr>
                <w:sz w:val="22"/>
              </w:rPr>
              <w:t xml:space="preserve">47</w:t>
            </w:r>
          </w:p>
        </w:tc>
        <w:tc>
          <w:tcPr>
            <w:tcW w:type="auto"/>
          </w:tcPr>
          <w:p>
            <w:pPr>
              <w:pStyle w:val="TableContents"/>
            </w:pPr>
            <w:r>
              <w:rPr>
                <w:sz w:val="22"/>
              </w:rPr>
              <w:t xml:space="preserve">Enable TAC Delay Line</w:t>
            </w:r>
          </w:p>
        </w:tc>
      </w:tr>
      <w:tr>
        <w:tc>
          <w:tcPr>
            <w:tcW w:type="auto"/>
          </w:tcPr>
          <w:p>
            <w:pPr>
              <w:pStyle w:val="TableContents"/>
            </w:pPr>
            <w:r>
              <w:rPr>
                <w:sz w:val="22"/>
              </w:rPr>
              <w:t xml:space="preserve">11</w:t>
            </w:r>
          </w:p>
        </w:tc>
        <w:tc>
          <w:tcPr>
            <w:tcW w:type="auto"/>
          </w:tcPr>
          <w:p>
            <w:pPr>
              <w:pStyle w:val="TableContents"/>
            </w:pPr>
            <w:r>
              <w:rPr>
                <w:sz w:val="22"/>
              </w:rPr>
              <w:t xml:space="preserve">End to End Path 1 Select (Upconverter BIT)</w:t>
            </w:r>
          </w:p>
        </w:tc>
        <w:tc>
          <w:tcPr>
            <w:tcW w:type="auto"/>
          </w:tcPr>
          <w:p>
            <w:pPr>
              <w:pStyle w:val="TableContents"/>
            </w:pPr>
            <w:r>
              <w:rPr>
                <w:sz w:val="22"/>
              </w:rPr>
              <w:t xml:space="preserve">48</w:t>
            </w:r>
          </w:p>
        </w:tc>
        <w:tc>
          <w:tcPr>
            <w:tcW w:type="auto"/>
          </w:tcPr>
          <w:p>
            <w:pPr>
              <w:pStyle w:val="TableContents"/>
            </w:pPr>
            <w:r>
              <w:rPr>
                <w:sz w:val="22"/>
              </w:rPr>
              <w:t xml:space="preserve">Disable TAC Delay Line</w:t>
            </w:r>
          </w:p>
        </w:tc>
      </w:tr>
      <w:tr>
        <w:tc>
          <w:tcPr>
            <w:tcW w:type="auto"/>
          </w:tcPr>
          <w:p>
            <w:pPr>
              <w:pStyle w:val="TableContents"/>
            </w:pPr>
            <w:r>
              <w:rPr>
                <w:sz w:val="22"/>
              </w:rPr>
              <w:t xml:space="preserve">12</w:t>
            </w:r>
          </w:p>
        </w:tc>
        <w:tc>
          <w:tcPr>
            <w:tcW w:type="auto"/>
          </w:tcPr>
          <w:p>
            <w:pPr>
              <w:pStyle w:val="TableContents"/>
            </w:pPr>
            <w:r>
              <w:rPr>
                <w:sz w:val="22"/>
              </w:rPr>
              <w:t xml:space="preserve">End to End Path 2 Select (Upconverter BIT)</w:t>
            </w:r>
          </w:p>
        </w:tc>
        <w:tc>
          <w:tcPr>
            <w:tcW w:type="auto"/>
          </w:tcPr>
          <w:p>
            <w:pPr>
              <w:pStyle w:val="TableContents"/>
            </w:pPr>
            <w:r>
              <w:rPr>
                <w:sz w:val="22"/>
              </w:rPr>
              <w:t xml:space="preserve">50</w:t>
            </w:r>
          </w:p>
        </w:tc>
        <w:tc>
          <w:tcPr>
            <w:tcW w:type="auto"/>
          </w:tcPr>
          <w:p>
            <w:pPr>
              <w:pStyle w:val="TableContents"/>
            </w:pPr>
            <w:r>
              <w:rPr>
                <w:sz w:val="22"/>
              </w:rPr>
              <w:t xml:space="preserve">Abort Scene (OBP Not Present)</w:t>
            </w:r>
          </w:p>
        </w:tc>
      </w:tr>
      <w:tr>
        <w:tc>
          <w:tcPr>
            <w:tcW w:type="auto"/>
          </w:tcPr>
          <w:p>
            <w:pPr>
              <w:pStyle w:val="TableContents"/>
            </w:pPr>
            <w:r>
              <w:rPr>
                <w:sz w:val="22"/>
              </w:rPr>
              <w:t xml:space="preserve">13</w:t>
            </w:r>
          </w:p>
        </w:tc>
        <w:tc>
          <w:tcPr>
            <w:tcW w:type="auto"/>
          </w:tcPr>
          <w:p>
            <w:pPr>
              <w:pStyle w:val="TableContents"/>
            </w:pPr>
            <w:r>
              <w:rPr>
                <w:sz w:val="22"/>
              </w:rPr>
              <w:t xml:space="preserve">End to End Path 3 Select (Antenna BIT)</w:t>
            </w:r>
          </w:p>
        </w:tc>
        <w:tc>
          <w:tcPr>
            <w:tcW w:type="auto"/>
          </w:tcPr>
          <w:p>
            <w:pPr>
              <w:pStyle w:val="TableContents"/>
            </w:pPr>
            <w:r>
              <w:rPr>
                <w:sz w:val="22"/>
              </w:rPr>
              <w:t xml:space="preserve">55</w:t>
            </w:r>
          </w:p>
        </w:tc>
        <w:tc>
          <w:tcPr>
            <w:tcW w:type="auto"/>
          </w:tcPr>
          <w:p>
            <w:pPr>
              <w:pStyle w:val="TableContents"/>
            </w:pPr>
            <w:r>
              <w:rPr>
                <w:sz w:val="22"/>
              </w:rPr>
              <w:t xml:space="preserve">REC Soft Reset (save XMTR timeout)</w:t>
            </w:r>
          </w:p>
        </w:tc>
      </w:tr>
      <w:tr>
        <w:tc>
          <w:tcPr>
            <w:tcW w:type="auto"/>
          </w:tcPr>
          <w:p>
            <w:pPr>
              <w:pStyle w:val="TableContents"/>
            </w:pPr>
            <w:r>
              <w:rPr>
                <w:sz w:val="22"/>
              </w:rPr>
              <w:t xml:space="preserve">14</w:t>
            </w:r>
          </w:p>
        </w:tc>
        <w:tc>
          <w:tcPr>
            <w:tcW w:type="auto"/>
          </w:tcPr>
          <w:p>
            <w:pPr>
              <w:pStyle w:val="TableContents"/>
            </w:pPr>
            <w:r>
              <w:rPr>
                <w:sz w:val="22"/>
              </w:rPr>
              <w:t xml:space="preserve">CDU Test Target Point Imaging Dechirped</w:t>
            </w:r>
          </w:p>
        </w:tc>
        <w:tc>
          <w:tcPr>
            <w:tcW w:type="auto"/>
          </w:tcPr>
          <w:p>
            <w:pPr>
              <w:pStyle w:val="TableContents"/>
            </w:pPr>
            <w:r>
              <w:rPr>
                <w:sz w:val="22"/>
              </w:rPr>
              <w:t xml:space="preserve">60</w:t>
            </w:r>
          </w:p>
        </w:tc>
        <w:tc>
          <w:tcPr>
            <w:tcW w:type="auto"/>
          </w:tcPr>
          <w:p>
            <w:pPr>
              <w:pStyle w:val="TableContents"/>
            </w:pPr>
            <w:r>
              <w:rPr>
                <w:sz w:val="22"/>
              </w:rPr>
              <w:t xml:space="preserve">Terminate OBP</w:t>
            </w:r>
          </w:p>
        </w:tc>
      </w:tr>
      <w:tr>
        <w:tc>
          <w:tcPr>
            <w:tcW w:type="auto"/>
          </w:tcPr>
          <w:p>
            <w:pPr>
              <w:pStyle w:val="TableContents"/>
            </w:pPr>
            <w:r>
              <w:rPr>
                <w:sz w:val="22"/>
              </w:rPr>
              <w:t xml:space="preserve">15</w:t>
            </w:r>
          </w:p>
        </w:tc>
        <w:tc>
          <w:tcPr>
            <w:tcW w:type="auto"/>
          </w:tcPr>
          <w:p>
            <w:pPr>
              <w:pStyle w:val="TableContents"/>
            </w:pPr>
            <w:r>
              <w:rPr>
                <w:sz w:val="22"/>
              </w:rPr>
              <w:t xml:space="preserve">CDU Test Target Point Imaging Chirped</w:t>
            </w:r>
          </w:p>
        </w:tc>
        <w:tc>
          <w:tcPr>
            <w:tcW w:type="auto"/>
          </w:tcPr>
          <w:p>
            <w:pPr>
              <w:pStyle w:val="TableContents"/>
            </w:pPr>
            <w:r>
              <w:rPr>
                <w:sz w:val="22"/>
              </w:rPr>
              <w:t xml:space="preserve">61</w:t>
            </w:r>
          </w:p>
        </w:tc>
        <w:tc>
          <w:tcPr>
            <w:tcW w:type="auto"/>
          </w:tcPr>
          <w:p>
            <w:pPr>
              <w:pStyle w:val="TableContents"/>
            </w:pPr>
            <w:r>
              <w:rPr>
                <w:sz w:val="22"/>
              </w:rPr>
              <w:t xml:space="preserve">Reinitialize OBP</w:t>
            </w:r>
          </w:p>
        </w:tc>
      </w:tr>
      <w:tr>
        <w:tc>
          <w:tcPr>
            <w:tcW w:type="auto"/>
          </w:tcPr>
          <w:p>
            <w:pPr>
              <w:pStyle w:val="TableContents"/>
            </w:pPr>
            <w:r>
              <w:rPr>
                <w:sz w:val="22"/>
              </w:rPr>
              <w:t xml:space="preserve">16</w:t>
            </w:r>
          </w:p>
        </w:tc>
        <w:tc>
          <w:tcPr>
            <w:tcW w:type="auto"/>
          </w:tcPr>
          <w:p>
            <w:pPr>
              <w:pStyle w:val="TableContents"/>
            </w:pPr>
            <w:r>
              <w:rPr>
                <w:sz w:val="22"/>
              </w:rPr>
              <w:t xml:space="preserve">CDU Test Target Coarse Res Search</w:t>
            </w:r>
          </w:p>
        </w:tc>
        <w:tc>
          <w:tcPr>
            <w:tcW w:type="auto"/>
          </w:tcPr>
          <w:p>
            <w:pPr>
              <w:pStyle w:val="TableContents"/>
            </w:pPr>
            <w:r>
              <w:rPr>
                <w:sz w:val="22"/>
              </w:rPr>
              <w:t xml:space="preserve">62</w:t>
            </w:r>
          </w:p>
        </w:tc>
        <w:tc>
          <w:tcPr>
            <w:tcW w:type="auto"/>
          </w:tcPr>
          <w:p>
            <w:pPr>
              <w:pStyle w:val="TableContents"/>
            </w:pPr>
            <w:r>
              <w:rPr>
                <w:sz w:val="22"/>
              </w:rPr>
              <w:t xml:space="preserve">Run OBP Cleanup Script</w:t>
            </w:r>
          </w:p>
        </w:tc>
      </w:tr>
      <w:tr>
        <w:tc>
          <w:tcPr>
            <w:tcW w:type="auto"/>
          </w:tcPr>
          <w:p>
            <w:pPr>
              <w:pStyle w:val="TableContents"/>
            </w:pPr>
            <w:r>
              <w:rPr>
                <w:sz w:val="22"/>
              </w:rPr>
              <w:t xml:space="preserve">17</w:t>
            </w:r>
          </w:p>
        </w:tc>
        <w:tc>
          <w:tcPr>
            <w:tcW w:type="auto"/>
          </w:tcPr>
          <w:p>
            <w:pPr>
              <w:pStyle w:val="TableContents"/>
            </w:pPr>
            <w:r>
              <w:rPr>
                <w:sz w:val="22"/>
              </w:rPr>
              <w:t xml:space="preserve">CDU Test Target Medium Res Search</w:t>
            </w:r>
          </w:p>
        </w:tc>
        <w:tc>
          <w:tcPr>
            <w:tcW w:type="auto"/>
          </w:tcPr>
          <w:p>
            <w:pPr>
              <w:pStyle w:val="TableContents"/>
            </w:pPr>
            <w:r>
              <w:rPr>
                <w:sz w:val="22"/>
              </w:rPr>
              <w:t xml:space="preserve">63</w:t>
            </w:r>
          </w:p>
        </w:tc>
        <w:tc>
          <w:tcPr>
            <w:tcW w:type="auto"/>
          </w:tcPr>
          <w:p>
            <w:pPr>
              <w:pStyle w:val="TableContents"/>
            </w:pPr>
            <w:r>
              <w:rPr>
                <w:sz w:val="22"/>
              </w:rPr>
              <w:t xml:space="preserve">Refresh OBP Config.ini (c)</w:t>
            </w:r>
          </w:p>
        </w:tc>
      </w:tr>
      <w:tr>
        <w:tc>
          <w:tcPr>
            <w:tcW w:type="auto"/>
          </w:tcPr>
          <w:p>
            <w:pPr>
              <w:pStyle w:val="TableContents"/>
            </w:pPr>
            <w:r>
              <w:rPr>
                <w:sz w:val="22"/>
              </w:rPr>
              <w:t xml:space="preserve">18</w:t>
            </w:r>
          </w:p>
        </w:tc>
        <w:tc>
          <w:tcPr>
            <w:tcW w:type="auto"/>
          </w:tcPr>
          <w:p>
            <w:pPr>
              <w:pStyle w:val="TableContents"/>
            </w:pPr>
            <w:r>
              <w:rPr>
                <w:sz w:val="22"/>
              </w:rPr>
              <w:t xml:space="preserve">CDU Test Target High Res Search</w:t>
            </w:r>
          </w:p>
        </w:tc>
        <w:tc>
          <w:tcPr>
            <w:tcW w:type="auto"/>
          </w:tcPr>
          <w:p>
            <w:pPr>
              <w:pStyle w:val="TableContents"/>
            </w:pPr>
            <w:r>
              <w:rPr>
                <w:sz w:val="22"/>
              </w:rPr>
              <w:t xml:space="preserve">64</w:t>
            </w:r>
          </w:p>
        </w:tc>
        <w:tc>
          <w:tcPr>
            <w:tcW w:type="auto"/>
          </w:tcPr>
          <w:p>
            <w:pPr>
              <w:pStyle w:val="TableContents"/>
            </w:pPr>
            <w:r>
              <w:rPr>
                <w:sz w:val="22"/>
              </w:rPr>
              <w:t xml:space="preserve">Refresh/Reset SPP Refresh</w:t>
            </w:r>
          </w:p>
        </w:tc>
      </w:tr>
      <w:tr>
        <w:tc>
          <w:tcPr>
            <w:tcW w:type="auto"/>
          </w:tcPr>
          <w:p>
            <w:pPr>
              <w:pStyle w:val="TableContents"/>
            </w:pPr>
            <w:r>
              <w:rPr>
                <w:sz w:val="22"/>
              </w:rPr>
              <w:t xml:space="preserve">19</w:t>
            </w:r>
          </w:p>
        </w:tc>
        <w:tc>
          <w:tcPr>
            <w:tcW w:type="auto"/>
          </w:tcPr>
          <w:p>
            <w:pPr>
              <w:pStyle w:val="TableContents"/>
            </w:pPr>
            <w:r>
              <w:rPr>
                <w:sz w:val="22"/>
              </w:rPr>
              <w:t xml:space="preserve">CDU Test Target GMTI</w:t>
            </w:r>
          </w:p>
        </w:tc>
        <w:tc>
          <w:tcPr>
            <w:tcW w:type="auto"/>
          </w:tcPr>
          <w:p>
            <w:pPr>
              <w:pStyle w:val="TableContents"/>
            </w:pPr>
            <w:r>
              <w:rPr>
                <w:sz w:val="22"/>
              </w:rPr>
              <w:t xml:space="preserve">65</w:t>
            </w:r>
          </w:p>
        </w:tc>
        <w:tc>
          <w:tcPr>
            <w:tcW w:type="auto"/>
          </w:tcPr>
          <w:p>
            <w:pPr>
              <w:pStyle w:val="TableContents"/>
            </w:pPr>
            <w:r>
              <w:rPr>
                <w:sz w:val="22"/>
              </w:rPr>
              <w:t xml:space="preserve">Set SVA On</w:t>
            </w:r>
          </w:p>
        </w:tc>
      </w:tr>
      <w:tr>
        <w:tc>
          <w:tcPr>
            <w:tcW w:type="auto"/>
          </w:tcPr>
          <w:p>
            <w:pPr>
              <w:pStyle w:val="TableContents"/>
            </w:pPr>
            <w:r>
              <w:rPr>
                <w:sz w:val="22"/>
              </w:rPr>
              <w:t xml:space="preserve">20</w:t>
            </w:r>
          </w:p>
        </w:tc>
        <w:tc>
          <w:tcPr>
            <w:tcW w:type="auto"/>
          </w:tcPr>
          <w:p>
            <w:pPr>
              <w:pStyle w:val="TableContents"/>
            </w:pPr>
            <w:r>
              <w:rPr>
                <w:sz w:val="22"/>
              </w:rPr>
              <w:t xml:space="preserve">CDU Test Target NSPOT Dechirped</w:t>
            </w:r>
          </w:p>
        </w:tc>
        <w:tc>
          <w:tcPr>
            <w:tcW w:type="auto"/>
          </w:tcPr>
          <w:p>
            <w:pPr>
              <w:pStyle w:val="TableContents"/>
            </w:pPr>
            <w:r>
              <w:rPr>
                <w:sz w:val="22"/>
              </w:rPr>
              <w:t xml:space="preserve">66</w:t>
            </w:r>
          </w:p>
        </w:tc>
        <w:tc>
          <w:tcPr>
            <w:tcW w:type="auto"/>
          </w:tcPr>
          <w:p>
            <w:pPr>
              <w:pStyle w:val="TableContents"/>
            </w:pPr>
            <w:r>
              <w:rPr>
                <w:sz w:val="22"/>
              </w:rPr>
              <w:t xml:space="preserve">Set SVA Off</w:t>
            </w:r>
          </w:p>
        </w:tc>
      </w:tr>
      <w:tr>
        <w:tc>
          <w:tcPr>
            <w:tcW w:type="auto"/>
          </w:tcPr>
          <w:p>
            <w:pPr>
              <w:pStyle w:val="TableContents"/>
            </w:pPr>
            <w:r>
              <w:rPr>
                <w:sz w:val="22"/>
              </w:rPr>
              <w:t xml:space="preserve">21</w:t>
            </w:r>
          </w:p>
        </w:tc>
        <w:tc>
          <w:tcPr>
            <w:tcW w:type="auto"/>
          </w:tcPr>
          <w:p>
            <w:pPr>
              <w:pStyle w:val="TableContents"/>
            </w:pPr>
            <w:r>
              <w:rPr>
                <w:sz w:val="22"/>
              </w:rPr>
              <w:t xml:space="preserve">CDU Test Target NSPOT Chirped</w:t>
            </w:r>
          </w:p>
        </w:tc>
        <w:tc>
          <w:tcPr>
            <w:tcW w:type="auto"/>
          </w:tcPr>
          <w:p>
            <w:pPr>
              <w:pStyle w:val="TableContents"/>
            </w:pPr>
            <w:r>
              <w:rPr>
                <w:sz w:val="22"/>
              </w:rPr>
              <w:t xml:space="preserve">70</w:t>
            </w:r>
          </w:p>
        </w:tc>
        <w:tc>
          <w:tcPr>
            <w:tcW w:type="auto"/>
          </w:tcPr>
          <w:p>
            <w:pPr>
              <w:pStyle w:val="TableContents"/>
            </w:pPr>
            <w:r>
              <w:rPr>
                <w:sz w:val="22"/>
              </w:rPr>
              <w:t xml:space="preserve">Request Antenna Driver Test</w:t>
            </w:r>
          </w:p>
        </w:tc>
      </w:tr>
      <w:tr>
        <w:tc>
          <w:tcPr>
            <w:tcW w:type="auto"/>
          </w:tcPr>
          <w:p>
            <w:pPr>
              <w:pStyle w:val="TableContents"/>
            </w:pPr>
            <w:r>
              <w:rPr>
                <w:sz w:val="22"/>
              </w:rPr>
              <w:t xml:space="preserve">22</w:t>
            </w:r>
          </w:p>
        </w:tc>
        <w:tc>
          <w:tcPr>
            <w:tcW w:type="auto"/>
          </w:tcPr>
          <w:p>
            <w:pPr>
              <w:pStyle w:val="TableContents"/>
            </w:pPr>
            <w:r>
              <w:rPr>
                <w:sz w:val="22"/>
              </w:rPr>
              <w:t xml:space="preserve">CDU Test Target WSPOT Dechirped</w:t>
            </w:r>
          </w:p>
        </w:tc>
        <w:tc>
          <w:tcPr>
            <w:tcW w:type="auto"/>
          </w:tcPr>
          <w:p>
            <w:pPr>
              <w:pStyle w:val="TableContents"/>
            </w:pPr>
            <w:r>
              <w:rPr>
                <w:sz w:val="22"/>
              </w:rPr>
              <w:t xml:space="preserve">71</w:t>
            </w:r>
          </w:p>
        </w:tc>
        <w:tc>
          <w:tcPr>
            <w:tcW w:type="auto"/>
          </w:tcPr>
          <w:p>
            <w:pPr>
              <w:pStyle w:val="TableContents"/>
            </w:pPr>
            <w:r>
              <w:rPr>
                <w:sz w:val="22"/>
              </w:rPr>
              <w:t xml:space="preserve">Request Antenna Roll Test</w:t>
            </w:r>
          </w:p>
        </w:tc>
      </w:tr>
      <w:tr>
        <w:tc>
          <w:tcPr>
            <w:tcW w:type="auto"/>
          </w:tcPr>
          <w:p>
            <w:pPr>
              <w:pStyle w:val="TableContents"/>
            </w:pPr>
            <w:r>
              <w:rPr>
                <w:sz w:val="22"/>
              </w:rPr>
              <w:t xml:space="preserve">23</w:t>
            </w:r>
          </w:p>
        </w:tc>
        <w:tc>
          <w:tcPr>
            <w:tcW w:type="auto"/>
          </w:tcPr>
          <w:p>
            <w:pPr>
              <w:pStyle w:val="TableContents"/>
            </w:pPr>
            <w:r>
              <w:rPr>
                <w:sz w:val="22"/>
              </w:rPr>
              <w:t xml:space="preserve">CDU Test Target WSPOT Chirped</w:t>
            </w:r>
          </w:p>
        </w:tc>
        <w:tc>
          <w:tcPr>
            <w:tcW w:type="auto"/>
          </w:tcPr>
          <w:p>
            <w:pPr>
              <w:pStyle w:val="TableContents"/>
            </w:pPr>
            <w:r>
              <w:rPr>
                <w:sz w:val="22"/>
              </w:rPr>
              <w:t xml:space="preserve">72</w:t>
            </w:r>
          </w:p>
        </w:tc>
        <w:tc>
          <w:tcPr>
            <w:tcW w:type="auto"/>
          </w:tcPr>
          <w:p>
            <w:pPr>
              <w:pStyle w:val="TableContents"/>
            </w:pPr>
            <w:r>
              <w:rPr>
                <w:sz w:val="22"/>
              </w:rPr>
              <w:t xml:space="preserve">Request Antenna BIT Tests</w:t>
            </w:r>
          </w:p>
        </w:tc>
      </w:tr>
      <w:tr>
        <w:tc>
          <w:tcPr>
            <w:tcW w:type="auto"/>
          </w:tcPr>
          <w:p>
            <w:pPr>
              <w:pStyle w:val="TableContents"/>
            </w:pPr>
            <w:r>
              <w:rPr>
                <w:sz w:val="22"/>
              </w:rPr>
              <w:t xml:space="preserve">24</w:t>
            </w:r>
          </w:p>
        </w:tc>
        <w:tc>
          <w:tcPr>
            <w:tcW w:type="auto"/>
          </w:tcPr>
          <w:p>
            <w:pPr>
              <w:pStyle w:val="TableContents"/>
            </w:pPr>
            <w:r>
              <w:rPr>
                <w:sz w:val="22"/>
              </w:rPr>
              <w:t xml:space="preserve">CDU Test Target Enh. Pt. Imaging Dechirped</w:t>
            </w:r>
          </w:p>
        </w:tc>
        <w:tc>
          <w:tcPr>
            <w:tcW w:type="auto"/>
          </w:tcPr>
          <w:p>
            <w:pPr>
              <w:pStyle w:val="TableContents"/>
            </w:pPr>
            <w:r>
              <w:rPr>
                <w:sz w:val="22"/>
              </w:rPr>
              <w:t xml:space="preserve">73</w:t>
            </w:r>
          </w:p>
        </w:tc>
        <w:tc>
          <w:tcPr>
            <w:tcW w:type="auto"/>
          </w:tcPr>
          <w:p>
            <w:pPr>
              <w:pStyle w:val="TableContents"/>
            </w:pPr>
            <w:r>
              <w:rPr>
                <w:sz w:val="22"/>
              </w:rPr>
              <w:t xml:space="preserve">Abort Antenna Tests</w:t>
            </w:r>
          </w:p>
        </w:tc>
      </w:tr>
      <w:tr>
        <w:tc>
          <w:tcPr>
            <w:tcW w:type="auto"/>
          </w:tcPr>
          <w:p>
            <w:pPr>
              <w:pStyle w:val="TableContents"/>
            </w:pPr>
            <w:r>
              <w:rPr>
                <w:sz w:val="22"/>
              </w:rPr>
              <w:t xml:space="preserve">25</w:t>
            </w:r>
          </w:p>
        </w:tc>
        <w:tc>
          <w:tcPr>
            <w:tcW w:type="auto"/>
          </w:tcPr>
          <w:p>
            <w:pPr>
              <w:pStyle w:val="TableContents"/>
            </w:pPr>
            <w:r>
              <w:rPr>
                <w:sz w:val="22"/>
              </w:rPr>
              <w:t xml:space="preserve">CDU Test Target Enh. Pt. Imaging Chirped</w:t>
            </w:r>
          </w:p>
        </w:tc>
        <w:tc>
          <w:tcPr>
            <w:tcW w:type="auto"/>
          </w:tcPr>
          <w:p>
            <w:pPr>
              <w:pStyle w:val="TableContents"/>
            </w:pPr>
            <w:r>
              <w:rPr>
                <w:sz w:val="22"/>
              </w:rPr>
              <w:t xml:space="preserve">89</w:t>
            </w:r>
          </w:p>
        </w:tc>
        <w:tc>
          <w:tcPr>
            <w:tcW w:type="auto"/>
          </w:tcPr>
          <w:p>
            <w:pPr>
              <w:pStyle w:val="TableContents"/>
            </w:pPr>
            <w:r>
              <w:rPr>
                <w:sz w:val="22"/>
              </w:rPr>
              <w:t xml:space="preserve">Save Mission Plan to Disk (d)</w:t>
            </w:r>
          </w:p>
        </w:tc>
      </w:tr>
      <w:tr>
        <w:tc>
          <w:tcPr>
            <w:tcW w:type="auto"/>
          </w:tcPr>
          <w:p>
            <w:pPr>
              <w:pStyle w:val="TableContents"/>
            </w:pPr>
            <w:r>
              <w:rPr>
                <w:sz w:val="22"/>
              </w:rPr>
              <w:t xml:space="preserve">26</w:t>
            </w:r>
          </w:p>
        </w:tc>
        <w:tc>
          <w:tcPr>
            <w:tcW w:type="auto"/>
          </w:tcPr>
          <w:p>
            <w:pPr>
              <w:pStyle w:val="TableContents"/>
            </w:pPr>
            <w:r>
              <w:rPr>
                <w:sz w:val="22"/>
              </w:rPr>
              <w:t xml:space="preserve">CDU Test Target Scal. Pt. Imaging Dechirped</w:t>
            </w:r>
          </w:p>
        </w:tc>
        <w:tc>
          <w:tcPr>
            <w:tcW w:type="auto"/>
          </w:tcPr>
          <w:p>
            <w:pPr>
              <w:pStyle w:val="TableContents"/>
            </w:pPr>
            <w:r>
              <w:rPr>
                <w:sz w:val="22"/>
              </w:rPr>
              <w:t xml:space="preserve">90</w:t>
            </w:r>
          </w:p>
        </w:tc>
        <w:tc>
          <w:tcPr>
            <w:tcW w:type="auto"/>
          </w:tcPr>
          <w:p>
            <w:pPr>
              <w:pStyle w:val="TableContents"/>
            </w:pPr>
            <w:r>
              <w:rPr>
                <w:sz w:val="22"/>
              </w:rPr>
              <w:t xml:space="preserve">Load Mission Plan from Disk(e)</w:t>
            </w:r>
          </w:p>
        </w:tc>
      </w:tr>
      <w:tr>
        <w:tc>
          <w:tcPr>
            <w:tcW w:type="auto"/>
          </w:tcPr>
          <w:p>
            <w:pPr>
              <w:pStyle w:val="TableContents"/>
            </w:pPr>
            <w:r>
              <w:rPr>
                <w:sz w:val="22"/>
              </w:rPr>
              <w:t xml:space="preserve">27</w:t>
            </w:r>
          </w:p>
        </w:tc>
        <w:tc>
          <w:tcPr>
            <w:tcW w:type="auto"/>
          </w:tcPr>
          <w:p>
            <w:pPr>
              <w:pStyle w:val="TableContents"/>
            </w:pPr>
            <w:r>
              <w:rPr>
                <w:sz w:val="22"/>
              </w:rPr>
              <w:t xml:space="preserve">CDU Test Target Scal. Pt. Imaging Chirped</w:t>
            </w:r>
          </w:p>
        </w:tc>
        <w:tc>
          <w:tcPr>
            <w:tcW w:type="auto"/>
          </w:tcPr>
          <w:p>
            <w:pPr>
              <w:pStyle w:val="TableContents"/>
            </w:pPr>
            <w:r>
              <w:rPr>
                <w:sz w:val="22"/>
              </w:rPr>
              <w:t xml:space="preserve">91</w:t>
            </w:r>
          </w:p>
        </w:tc>
        <w:tc>
          <w:tcPr>
            <w:tcW w:type="auto"/>
          </w:tcPr>
          <w:p>
            <w:pPr>
              <w:pStyle w:val="TableContents"/>
            </w:pPr>
            <w:r>
              <w:rPr>
                <w:sz w:val="22"/>
              </w:rPr>
              <w:t xml:space="preserve">Set AEP State (f)</w:t>
            </w:r>
          </w:p>
        </w:tc>
      </w:tr>
      <w:tr>
        <w:tc>
          <w:tcPr>
            <w:tcW w:type="auto"/>
          </w:tcPr>
          <w:p>
            <w:pPr>
              <w:pStyle w:val="TableContents"/>
            </w:pPr>
            <w:r>
              <w:rPr>
                <w:sz w:val="22"/>
              </w:rPr>
              <w:t xml:space="preserve">30</w:t>
            </w:r>
          </w:p>
        </w:tc>
        <w:tc>
          <w:tcPr>
            <w:tcW w:type="auto"/>
          </w:tcPr>
          <w:p>
            <w:pPr>
              <w:pStyle w:val="TableContents"/>
            </w:pPr>
            <w:r>
              <w:rPr>
                <w:sz w:val="22"/>
              </w:rPr>
              <w:t xml:space="preserve">CCM Battleshort On</w:t>
            </w:r>
          </w:p>
        </w:tc>
        <w:tc>
          <w:tcPr>
            <w:tcW w:type="auto"/>
          </w:tcPr>
          <w:p>
            <w:pPr>
              <w:pStyle w:val="TableContents"/>
            </w:pPr>
            <w:r>
              <w:rPr>
                <w:sz w:val="22"/>
              </w:rPr>
              <w:t xml:space="preserve">92</w:t>
            </w:r>
          </w:p>
        </w:tc>
        <w:tc>
          <w:tcPr>
            <w:tcW w:type="auto"/>
          </w:tcPr>
          <w:p>
            <w:pPr>
              <w:pStyle w:val="TableContents"/>
            </w:pPr>
            <w:r>
              <w:rPr>
                <w:sz w:val="22"/>
              </w:rPr>
              <w:t xml:space="preserve">Store Kit Number (g)</w:t>
            </w:r>
          </w:p>
        </w:tc>
      </w:tr>
      <w:tr>
        <w:tc>
          <w:tcPr>
            <w:tcW w:type="auto"/>
          </w:tcPr>
          <w:p>
            <w:pPr>
              <w:pStyle w:val="TableContents"/>
            </w:pPr>
            <w:r>
              <w:rPr>
                <w:sz w:val="22"/>
              </w:rPr>
              <w:t xml:space="preserve">31</w:t>
            </w:r>
          </w:p>
        </w:tc>
        <w:tc>
          <w:tcPr>
            <w:tcW w:type="auto"/>
          </w:tcPr>
          <w:p>
            <w:pPr>
              <w:pStyle w:val="TableContents"/>
            </w:pPr>
            <w:r>
              <w:rPr>
                <w:sz w:val="22"/>
              </w:rPr>
              <w:t xml:space="preserve">CCM Battleshort Off</w:t>
            </w:r>
          </w:p>
        </w:tc>
        <w:tc>
          <w:tcPr>
            <w:tcW w:type="auto"/>
          </w:tcPr>
          <w:p>
            <w:pPr>
              <w:pStyle w:val="TableContents"/>
            </w:pPr>
            <w:r>
              <w:rPr>
                <w:sz w:val="22"/>
              </w:rPr>
              <w:t xml:space="preserve">95</w:t>
            </w:r>
          </w:p>
        </w:tc>
        <w:tc>
          <w:tcPr>
            <w:tcW w:type="auto"/>
          </w:tcPr>
          <w:p>
            <w:pPr>
              <w:pStyle w:val="TableContents"/>
            </w:pPr>
            <w:r>
              <w:rPr>
                <w:sz w:val="22"/>
              </w:rPr>
              <w:t xml:space="preserve">Set OBP Controlling Ground Station (h)</w:t>
            </w:r>
          </w:p>
        </w:tc>
      </w:tr>
      <w:tr>
        <w:tc>
          <w:tcPr>
            <w:tcW w:type="auto"/>
          </w:tcPr>
          <w:p>
            <w:pPr>
              <w:pStyle w:val="TableContents"/>
            </w:pPr>
            <w:r>
              <w:rPr>
                <w:sz w:val="22"/>
              </w:rPr>
              <w:t xml:space="preserve">32</w:t>
            </w:r>
          </w:p>
        </w:tc>
        <w:tc>
          <w:tcPr>
            <w:tcW w:type="auto"/>
          </w:tcPr>
          <w:p>
            <w:pPr>
              <w:pStyle w:val="TableContents"/>
            </w:pPr>
            <w:r>
              <w:rPr>
                <w:sz w:val="22"/>
              </w:rPr>
              <w:t xml:space="preserve">Extended End to End On</w:t>
            </w:r>
          </w:p>
        </w:tc>
        <w:tc>
          <w:tcPr>
            <w:tcW w:type="auto"/>
          </w:tcPr>
          <w:p>
            <w:pPr>
              <w:pStyle w:val="TableContents"/>
            </w:pPr>
            <w:r>
              <w:rPr>
                <w:sz w:val="22"/>
              </w:rPr>
              <w:t xml:space="preserve">96</w:t>
            </w:r>
          </w:p>
        </w:tc>
        <w:tc>
          <w:tcPr>
            <w:tcW w:type="auto"/>
          </w:tcPr>
          <w:p>
            <w:pPr>
              <w:pStyle w:val="TableContents"/>
            </w:pPr>
            <w:r>
              <w:rPr>
                <w:sz w:val="22"/>
              </w:rPr>
              <w:t xml:space="preserve">Set Test Target AGC Mode (i)</w:t>
            </w:r>
          </w:p>
        </w:tc>
      </w:tr>
      <w:tr>
        <w:tc>
          <w:tcPr>
            <w:tcW w:type="auto"/>
          </w:tcPr>
          <w:p>
            <w:pPr>
              <w:pStyle w:val="TableContents"/>
            </w:pPr>
            <w:r>
              <w:rPr>
                <w:sz w:val="22"/>
              </w:rPr>
              <w:t xml:space="preserve">33</w:t>
            </w:r>
          </w:p>
        </w:tc>
        <w:tc>
          <w:tcPr>
            <w:tcW w:type="auto"/>
          </w:tcPr>
          <w:p>
            <w:pPr>
              <w:pStyle w:val="TableContents"/>
            </w:pPr>
            <w:r>
              <w:rPr>
                <w:sz w:val="22"/>
              </w:rPr>
              <w:t xml:space="preserve">Extended End to End Off</w:t>
            </w:r>
          </w:p>
        </w:tc>
        <w:tc>
          <w:tcPr>
            <w:tcW w:type="auto"/>
          </w:tcPr>
          <w:p>
            <w:pPr>
              <w:pStyle w:val="TableContents"/>
            </w:pPr>
            <w:r>
              <w:rPr>
                <w:sz w:val="22"/>
              </w:rPr>
              <w:t xml:space="preserve">97</w:t>
            </w:r>
          </w:p>
        </w:tc>
        <w:tc>
          <w:tcPr>
            <w:tcW w:type="auto"/>
          </w:tcPr>
          <w:p>
            <w:pPr>
              <w:pStyle w:val="TableContents"/>
            </w:pPr>
            <w:r>
              <w:rPr>
                <w:sz w:val="22"/>
              </w:rPr>
              <w:t xml:space="preserve">Set Test Target AGC (j)</w:t>
            </w:r>
          </w:p>
        </w:tc>
      </w:tr>
      <w:tr>
        <w:tc>
          <w:tcPr>
            <w:tcW w:type="auto"/>
          </w:tcPr>
          <w:p>
            <w:pPr>
              <w:pStyle w:val="TableContents"/>
            </w:pPr>
            <w:r>
              <w:rPr>
                <w:sz w:val="22"/>
              </w:rPr>
              <w:t xml:space="preserve">34</w:t>
            </w:r>
          </w:p>
        </w:tc>
        <w:tc>
          <w:tcPr>
            <w:tcW w:type="auto"/>
          </w:tcPr>
          <w:p>
            <w:pPr>
              <w:pStyle w:val="TableContents"/>
            </w:pPr>
            <w:r>
              <w:rPr>
                <w:sz w:val="22"/>
              </w:rPr>
              <w:t xml:space="preserve">Set Old Tau Video</w:t>
            </w:r>
          </w:p>
        </w:tc>
        <w:tc>
          <w:tcPr>
            <w:tcW w:type="auto"/>
          </w:tcPr>
          <w:p>
            <w:pPr>
              <w:pStyle w:val="TableContents"/>
            </w:pPr>
            <w:r>
              <w:rPr>
                <w:sz w:val="22"/>
              </w:rPr>
              <w:t xml:space="preserve">98</w:t>
            </w:r>
          </w:p>
        </w:tc>
        <w:tc>
          <w:tcPr>
            <w:tcW w:type="auto"/>
          </w:tcPr>
          <w:p>
            <w:pPr>
              <w:pStyle w:val="TableContents"/>
            </w:pPr>
            <w:r>
              <w:rPr>
                <w:sz w:val="22"/>
              </w:rPr>
              <w:t xml:space="preserve">Set REC Serial Number (k)</w:t>
            </w:r>
          </w:p>
        </w:tc>
      </w:tr>
      <w:tr>
        <w:tc>
          <w:tcPr>
            <w:tcW w:type="auto"/>
          </w:tcPr>
          <w:p>
            <w:pPr>
              <w:pStyle w:val="TableContents"/>
            </w:pPr>
            <w:r>
              <w:rPr>
                <w:sz w:val="22"/>
              </w:rPr>
              <w:t xml:space="preserve">35</w:t>
            </w:r>
          </w:p>
        </w:tc>
        <w:tc>
          <w:tcPr>
            <w:tcW w:type="auto"/>
          </w:tcPr>
          <w:p>
            <w:pPr>
              <w:pStyle w:val="TableContents"/>
            </w:pPr>
            <w:r>
              <w:rPr>
                <w:sz w:val="22"/>
              </w:rPr>
              <w:t xml:space="preserve">Set New Tau Video</w:t>
            </w:r>
          </w:p>
        </w:tc>
        <w:tc>
          <w:tcPr>
            <w:tcW w:type="auto"/>
          </w:tcPr>
          <w:p>
            <w:pPr>
              <w:pStyle w:val="TableContents"/>
            </w:pPr>
            <w:r>
              <w:rPr>
                <w:sz w:val="22"/>
              </w:rPr>
              <w:t xml:space="preserve">99</w:t>
            </w:r>
          </w:p>
        </w:tc>
        <w:tc>
          <w:tcPr>
            <w:tcW w:type="auto"/>
          </w:tcPr>
          <w:p>
            <w:pPr>
              <w:pStyle w:val="TableContents"/>
            </w:pPr>
            <w:r>
              <w:rPr>
                <w:sz w:val="22"/>
              </w:rPr>
              <w:t xml:space="preserve">Set FEC Table ID Number (l)</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SCWS, select the Uplink button, select REC, then select FCD Downlink Rate.</w:t>
            </w:r>
          </w:p>
        </w:tc>
        <w:tc>
          <w:tcPr>
            <w:tcW w:type="auto"/>
          </w:tcPr>
          <w:p>
            <w:pPr>
              <w:pStyle w:val="TableContents"/>
            </w:pPr>
            <w:r>
              <w:rPr>
                <w:sz w:val="22"/>
                <w:b/>
              </w:rPr>
              <w:t xml:space="preserve"> Figure  SEQ Figure \* ARABIC 102 SCWS Uplink REC FCD Downlink Rate</w:t>
            </w:r>
          </w:p>
        </w:tc>
      </w:tr>
      <w:tr>
        <w:tc>
          <w:tcPr>
            <w:tcW w:type="auto"/>
          </w:tcPr>
          <w:p>
            <w:pPr>
              <w:pStyle w:val="TableContents"/>
            </w:pPr>
            <w:r>
              <w:rPr>
                <w:sz w:val="22"/>
              </w:rPr>
              <w:t xml:space="preserve">The FCD Downlink Rate Dialog box appears.   Slide the slide widget to appropriate value (1 to 100).  Select OK to request the FCD Downlink Rate and close the dialog box. Select Apply to request the FCD Downlink Rate and leave the dialog box open. Select Cancel to close the dialog box without issuing FCD Downlink Rate request.</w:t>
            </w:r>
          </w:p>
        </w:tc>
        <w:tc>
          <w:tcPr>
            <w:tcW w:type="auto"/>
          </w:tcPr>
          <w:p>
            <w:pPr>
              <w:pStyle w:val="TableContents"/>
            </w:pPr>
            <w:r>
              <w:rPr>
                <w:sz w:val="22"/>
              </w:rPr>
              <w:t xml:space="preserve"> Figure  SEQ Figure \* ARABIC 103 SCWS Uplink REC FCD Downlink Rate Dialog</w:t>
            </w:r>
          </w:p>
        </w:tc>
      </w:tr>
    </w:tbl>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From the Uplink button on the SCWS, select Uplink Cancel.</w:t>
            </w:r>
          </w:p>
        </w:tc>
        <w:tc>
          <w:tcPr>
            <w:tcW w:type="auto"/>
          </w:tcPr>
          <w:p>
            <w:pPr>
              <w:pStyle w:val="TableContents"/>
            </w:pPr>
            <w:r>
              <w:rPr>
                <w:sz w:val="22"/>
                <w:b/>
              </w:rPr>
              <w:t xml:space="preserve"> Figure  SEQ Figure \* ARABIC 104 SCWS Uplink - Uplink Cancel</w:t>
            </w:r>
          </w:p>
        </w:tc>
      </w:tr>
      <w:tr>
        <w:tc>
          <w:tcPr>
            <w:tcW w:type="auto"/>
          </w:tcPr>
          <w:p>
            <w:pPr>
              <w:pStyle w:val="TableContents"/>
            </w:pPr>
            <w:r>
              <w:rPr>
                <w:sz w:val="22"/>
              </w:rPr>
              <w:t xml:space="preserve">The Uplink Cancel Confirmation window appears.    Select OK to request a Cancel Uplink request and close the confirmation window. Select Apply to request a Cancel Uplink and leave the confirmation window open. Select Cancel to close the window without Uplink Cancel request.</w:t>
            </w:r>
          </w:p>
        </w:tc>
        <w:tc>
          <w:tcPr>
            <w:tcW w:type="auto"/>
          </w:tcPr>
          <w:p>
            <w:pPr>
              <w:pStyle w:val="TableContents"/>
            </w:pPr>
            <w:r>
              <w:rPr>
                <w:sz w:val="22"/>
              </w:rPr>
              <w:t xml:space="preserve"> Figure  SEQ Figure \* ARABIC 105 SCWS Uplink - Uplink Cancel Dialog</w:t>
            </w:r>
          </w:p>
        </w:tc>
      </w:tr>
    </w:tbl>
    <w:p>
      <w:pPr>
        <w:pStyle w:val="Heading4"/>
        <w:jc w:val="left"/>
        <w:spacing w:before="240" w:after="0"/>
      </w:pPr>
      <w:r>
        <w:rPr>
          <w:b/>
        </w:rPr>
        <w:t>Immediate Scene Commands</w:t>
      </w:r>
    </w:p>
    <w:p>
      <w:pPr>
        <w:pStyle w:val="Normal"/>
        <w:spacing w:after="200" w:line="276" w:lineRule="auto"/>
      </w:pPr>
      <w:r>
        <w:rPr>
          <w:sz w:val="24"/>
        </w:rPr>
        <w:t xml:space="preserve">To be provided…</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9b488448de704070" /><Relationship Type="http://schemas.openxmlformats.org/officeDocument/2006/relationships/image" Target="/media/image.bin" Id="Rf7cc90d177e14461" /><Relationship Type="http://schemas.openxmlformats.org/officeDocument/2006/relationships/image" Target="/media/image2.bin" Id="R34c536989ba84d92" /><Relationship Type="http://schemas.openxmlformats.org/officeDocument/2006/relationships/image" Target="/media/image3.bin" Id="Rb1c0a67022534c67" /><Relationship Type="http://schemas.openxmlformats.org/officeDocument/2006/relationships/image" Target="/media/image4.bin" Id="R1deac586640a4cf9" /><Relationship Type="http://schemas.openxmlformats.org/officeDocument/2006/relationships/image" Target="/media/image5.bin" Id="R28c69ade7e764458" /><Relationship Type="http://schemas.openxmlformats.org/officeDocument/2006/relationships/image" Target="/media/image6.bin" Id="R1a21601e45e94dc4" /></Relationships>
</file>