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39e4989cd1450d" /></Relationships>
</file>

<file path=word/document.xml><?xml version="1.0" encoding="utf-8"?>
<w:document xmlns:w="http://schemas.openxmlformats.org/wordprocessingml/2006/main">
  <w:body>
    <w:p>
      <w:pPr>
        <w:pStyle w:val="Heading2"/>
        <w:jc w:val="left"/>
        <w:spacing w:before="240" w:after="0"/>
      </w:pPr>
      <w:r>
        <w:rPr>
          <w:b/>
        </w:rPr>
        <w:t>SYSTEM INTEGRATION AND Test Station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REF _Ref52957405 \h  \* MERGEFORMAT Figure 1.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Replace large system ESS Chamber with portable ESS Chamber along with fixtures and extender cables for the REX, CISP, RPS and Antenna units (same ESS conditions as unit test)</w:t>
      </w:r>
    </w:p>
    <w:p>
      <w:pPr>
        <w:pStyle w:val="Normal"/>
        <w:spacing w:after="200" w:line="276" w:lineRule="auto"/>
      </w:pPr>
      <w:r>
        <w:rPr>
          <w:sz w:val="24"/>
        </w:rPr>
        <w:t xml:space="preserve">Utilize spread bench physical layout vs. existing stand along rack</w:t>
      </w:r>
    </w:p>
    <w:p>
      <w:pPr>
        <w:pStyle w:val="Normal"/>
        <w:spacing w:after="200" w:line="276" w:lineRule="auto"/>
      </w:pPr>
      <w:r>
        <w:rPr>
          <w:sz w:val="24"/>
        </w:rPr>
        <w:t xml:space="preserve">BIT Status Panels, Monitor Panels, Test Access Panels to monitor LRU/LRM/SRU health during system test</w:t>
      </w:r>
    </w:p>
    <w:p>
      <w:pPr>
        <w:pStyle w:val="Normal"/>
        <w:spacing w:after="200" w:line="276" w:lineRule="auto"/>
      </w:pPr>
      <w:r>
        <w:rPr>
          <w:sz w:val="24"/>
        </w:rPr>
        <w:t xml:space="preserve">Ability to run system BIT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Include ancillary equipment (RF Hat, PAO Card, Cooling air ….)</w:t>
      </w:r>
    </w:p>
    <w:p>
      <w:pPr>
        <w:pStyle w:val="Normal"/>
        <w:spacing w:after="200" w:line="276" w:lineRule="auto"/>
      </w:pPr>
      <w:r>
        <w:rPr>
          <w:sz w:val="24"/>
        </w:rPr>
        <w:t xml:space="preserve">Assume SuperDTE &amp; CAPRE will be GFE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ATRU will be GFE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Includes user training after delivery (preliminary training pre-delivery)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1.  ST – Depot SIT Bench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2.  System Integration and Test Spread Bench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3.  Spread Bench (Top)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4.  Spread Bench (Rear)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5.  CISP Semi-Tactical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6.  REX Semi-Tactical</w:t>
      </w:r>
    </w:p>
    <w:p>
      <w:pPr>
        <w:pStyle w:val="Normal"/>
        <w:spacing w:after="200" w:line="276" w:lineRule="auto"/>
      </w:pPr>
      <w:r>
        <w:rPr>
          <w:sz w:val="24"/>
        </w:rPr>
        <w:t xml:space="preserve">Figure  SEQ Figure \* ARABIC 7.  RPS Semi-Tactical</w:t>
      </w:r>
    </w:p>
    <w:p>
      <w:pPr>
        <w:pStyle w:val="Normal"/>
        <w:spacing w:after="200" w:line="276" w:lineRule="auto"/>
      </w:pPr>
      <w:r>
        <w:rPr>
          <w:sz w:val="24"/>
        </w:rPr>
        <w:t xml:space="preserve">System Equipment and Configurations.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RPS unit provides power to the APG-82 Radar System. Takes aircraft power and converts it to the appropriate power forms for the radar. Unit is capable of outputting Vdd &gt; 2200 amps, Vp &gt; 700A, Vss &gt; 300A.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The Radar Power Supply STE consists of the following components:  REF _Ref52187363 \h  \* MERGEFORMAT Figure 9 and   REF _Ref52167537 \h  \* MERGEFORMAT Figure 11.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Radar Power Supply STE functional flow diagram.  REF _Ref52170667 \h  \* MERGEFORMAT Figure 12.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Array Power Module.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.Radar Power Control 2</w:t>
      </w:r>
    </w:p>
    <w:p>
      <w:pPr>
        <w:pStyle w:val="Normal"/>
        <w:spacing w:after="200" w:line="276" w:lineRule="auto"/>
      </w:pPr>
      <w:r>
        <w:rPr>
          <w:sz w:val="24"/>
        </w:rPr>
        <w:t xml:space="preserve">Aircraft Interface Module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Wired Chassis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Array Crowbar Discharge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REX Converter Module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Radar Bias Converter</w:t>
      </w:r>
    </w:p>
    <w:p>
      <w:pPr>
        <w:pStyle w:val="Normal"/>
        <w:spacing w:after="200" w:line="276" w:lineRule="auto"/>
      </w:pPr>
      <w:r>
        <w:rPr>
          <w:sz w:val="24"/>
        </w:rPr>
        <w:t xml:space="preserve">.Covers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Wire Harnesses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Enclosure</w:t>
      </w:r>
    </w:p>
    <w:p>
      <w:pPr>
        <w:pStyle w:val="Normal"/>
        <w:spacing w:after="200" w:line="276" w:lineRule="auto"/>
      </w:pPr>
      <w:r>
        <w:rPr>
          <w:sz w:val="24"/>
        </w:rPr>
        <w:t xml:space="preserve">Motherboard Assembly</w:t>
      </w:r>
    </w:p>
    <w:p>
      <w:pPr>
        <w:pStyle w:val="Normal"/>
        <w:spacing w:after="200" w:line="276" w:lineRule="auto"/>
      </w:pPr>
      <w:r>
        <w:rPr>
          <w:sz w:val="24"/>
        </w:rPr>
        <w:t xml:space="preserve">Link Bus Bar Assembly EMI Filter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Table  SEQ Table \* ARABIC 1.  AESA Radar System Configurations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Table  SEQ Table \* ARABIC 2.  Pertinent Data</w:t>
      </w:r>
    </w:p>
    <w:p>
      <w:pPr>
        <w:pStyle w:val="Normal"/>
        <w:spacing w:after="200" w:line="276" w:lineRule="auto"/>
      </w:pPr>
      <w:r>
        <w:rPr>
          <w:sz w:val="24"/>
        </w:rPr>
        <w:t xml:space="preserve">System Functional Description.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The Radar Power Supply STE provides the following functions:</w:t>
      </w:r>
    </w:p>
    <w:p>
      <w:pPr>
        <w:spacing w:before="240" w:after="240"/>
      </w:pP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AESA Radar System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5180000-110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5180000-120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5180000-130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5180000-140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5180000-150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PCU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5213400-100, -110, or 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5213400-100, -110, or 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5213400-110 or 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5213400-120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5213400-120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RPSR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5180300-105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5180300-110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5180300-120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5180300-110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5180300-120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CISP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5180200-120 or -130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5180200-140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5180200-150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5180200-160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5180200-170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REX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5180100-110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5180100-130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5180100-120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5180100-140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5180100-150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Antenna Assembly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5180500-100 or -110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5180500-120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5230343-100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5180500-140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5230343-110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MSS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3525061-150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3525061-150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3525061-150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3525061-150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3525061-150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Electrical Equipment Rack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5165270-110 or -111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5165270-111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5165270-111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5165270-120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5165270-120</w:t>
            </w:r>
          </w:p>
        </w:tc>
      </w:tr>
    </w:tbl>
    <w:p>
      <w:pPr>
        <w:spacing w:before="240" w:after="240"/>
      </w:pP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Characteristic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Operating Parameters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AESA Radar System Weight with Polyalphaolefin (PAO) coolant: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700 pounds maximum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Antenna Assembly5180500-100, -110, -120, 5230343-100, 5180500-140, -150, 5230343-110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160 pounds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PCU5213400-100, -110, 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68 pounds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RPSR5180300-105, -110, 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35 pounds empty(modules must be removed from wired chassis assembly prior to removal/installation of unit)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REX5180100-110, -120, -130, -140, -150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37 pounds empty(modules must be removed from wired chassis assembly prior to removal/installation of unit)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CISP5180200-120, -130, -140, -150, -160,      -170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31 pounds empty(modules must be removed from wired chassis assembly prior to removal/installation of unit)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MSS3525061-150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12.9 pounds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Electrical Equipment Rack  5165270-110, -111, -120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270 pounds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Input Voltage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115 Vac, 400 Hz, 3-phase aircraft prime power</w:t>
            </w:r>
          </w:p>
        </w:tc>
      </w:tr>
    </w:tbl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5281136" cy="3609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4ace898b4f5549a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136" cy="360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Caption</w:t>
      </w:r>
    </w:p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4296727" cy="26560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da6aa05899e54fe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727" cy="26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1 .  ST – Depot SIT Bench</w:t>
      </w:r>
    </w:p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6810375" cy="2804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ccae612dbbf349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28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2 .  System Integration and Test Spread Bench</w:t>
      </w:r>
    </w:p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6036468" cy="3498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c44a6b88bdff481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468" cy="349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3 .  Spread Bench (Top)</w:t>
      </w:r>
    </w:p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7249953" cy="3392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35c712d399af4df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953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4 .  Spread Bench (Rear)</w:t>
      </w:r>
    </w:p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6971347" cy="3429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2c9d453cbd4747e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1347" cy="342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5 .  CISP Semi-Tactical</w:t>
      </w:r>
    </w:p>
    <w:p>
      <w:pPr>
        <w:jc w:val="center"/>
        <w:spacing w:before="240" w:after="120"/>
      </w:pPr>
      <w:r>
        <w:drawing>
          <wp:inline xmlns:wp="http://schemas.openxmlformats.org/drawingml/2006/wordprocessingDrawing" distT="0" distB="0" distL="0" distR="0">
            <wp:extent cx="7045642" cy="3628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b0dba13a7f644e1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5642" cy="36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spacing w:before="120" w:after="240"/>
      </w:pPr>
      <w:r>
        <w:rPr>
          <w:sz w:val="22"/>
        </w:rPr>
        <w:t>Figure 6 .  REX Semi-Tactical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Normal"/>
    <w:next w:val="Normal"/>
    <w:rPr>
      <w:rFonts w:ascii="Times New Roman"/>
      <w:sz w:val="24"/>
    </w:rPr>
  </w:style>
  <w:style w:type="paragraph" w:styleId="Heading1" w:default="true">
    <w:name w:val="Heading 1"/>
    <w:basedOn w:val="Normal"/>
    <w:next w:val="Normal"/>
    <w:rPr>
      <w:rFonts w:ascii="Arial"/>
      <w:sz w:val="36"/>
      <w:b/>
    </w:rPr>
  </w:style>
  <w:style w:type="paragraph" w:styleId="Heading2" w:default="true">
    <w:name w:val="Heading 2"/>
    <w:basedOn w:val="Normal"/>
    <w:next w:val="Normal"/>
    <w:rPr>
      <w:rFonts w:ascii="Arial"/>
      <w:sz w:val="32"/>
      <w:b/>
    </w:rPr>
  </w:style>
  <w:style w:type="paragraph" w:styleId="Heading3" w:default="true">
    <w:name w:val="Heading 3"/>
    <w:basedOn w:val="Normal"/>
    <w:next w:val="Normal"/>
    <w:rPr>
      <w:rFonts w:ascii="Arial"/>
      <w:sz w:val="28"/>
      <w:b/>
    </w:rPr>
  </w:style>
  <w:style w:type="paragraph" w:styleId="Heading4" w:default="true">
    <w:name w:val="Heading 4"/>
    <w:basedOn w:val="Normal"/>
    <w:next w:val="Normal"/>
    <w:rPr>
      <w:rFonts w:ascii="Arial"/>
      <w:sz w:val="24"/>
      <w:b/>
    </w:rPr>
  </w:style>
  <w:style w:type="paragraph" w:styleId="TableContents" w:default="true">
    <w:name w:val="Table Contents"/>
    <w:basedOn w:val="Normal"/>
    <w:next w:val="Normal"/>
    <w:rPr>
      <w:rFonts w:ascii="Times New Roman"/>
      <w:sz w:val="22"/>
    </w:rPr>
  </w:style>
  <w:style w:type="paragraph" w:styleId="TableTitle" w:default="true">
    <w:name w:val="Table Title"/>
    <w:basedOn w:val="Normal"/>
    <w:next w:val="Normal"/>
    <w:rPr>
      <w:rFonts w:ascii="Times New Roman"/>
      <w:sz w:val="22"/>
      <w:b/>
    </w:rPr>
  </w:style>
  <w:style w:type="paragraph" w:styleId="ImageTitle" w:default="true">
    <w:name w:val="Image Title"/>
    <w:basedOn w:val="Normal"/>
    <w:next w:val="Normal"/>
    <w:rPr>
      <w:rFonts w:ascii="Times New Roman"/>
      <w:sz w:val="22"/>
      <w:b/>
    </w:rPr>
  </w:style>
  <w:style w:type="paragraph" w:styleId="ImageCaption" w:default="true">
    <w:name w:val="Image Caption"/>
    <w:basedOn w:val="Normal"/>
    <w:next w:val="Normal"/>
    <w:rPr>
      <w:rFonts w:ascii="Times New Roman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a4beaab616b4270" /><Relationship Type="http://schemas.openxmlformats.org/officeDocument/2006/relationships/image" Target="/media/image.bin" Id="R4ace898b4f5549a9" /><Relationship Type="http://schemas.openxmlformats.org/officeDocument/2006/relationships/image" Target="/media/image2.bin" Id="Rda6aa05899e54fec" /><Relationship Type="http://schemas.openxmlformats.org/officeDocument/2006/relationships/image" Target="/media/image3.bin" Id="Rccae612dbbf349e1" /><Relationship Type="http://schemas.openxmlformats.org/officeDocument/2006/relationships/image" Target="/media/image4.bin" Id="Rc44a6b88bdff481f" /><Relationship Type="http://schemas.openxmlformats.org/officeDocument/2006/relationships/image" Target="/media/image5.bin" Id="R35c712d399af4df1" /><Relationship Type="http://schemas.openxmlformats.org/officeDocument/2006/relationships/image" Target="/media/image6.bin" Id="R2c9d453cbd4747e0" /><Relationship Type="http://schemas.openxmlformats.org/officeDocument/2006/relationships/image" Target="/media/image7.bin" Id="Rb0dba13a7f644e1f" /></Relationships>
</file>