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e6efa7f88c54158" /></Relationships>
</file>

<file path=word/document.xml><?xml version="1.0" encoding="utf-8"?>
<w:document xmlns:w="http://schemas.openxmlformats.org/wordprocessingml/2006/main">
  <w:body>
    <w:p>
      <w:pPr>
        <w:pStyle w:val="Heading3"/>
        <w:jc w:val="left"/>
        <w:spacing w:before="240" w:after="0"/>
      </w:pPr>
      <w:r>
        <w:rPr>
          <w:b/>
        </w:rPr>
        <w:t>MCI Startup and Shutdown</w:t>
      </w:r>
    </w:p>
    <w:p>
      <w:pPr>
        <w:pStyle w:val="Heading4"/>
        <w:jc w:val="left"/>
        <w:spacing w:before="240" w:after="0"/>
      </w:pPr>
      <w:r>
        <w:rPr>
          <w:b/>
        </w:rPr>
        <w:t>MCI Startup</w:t>
      </w:r>
    </w:p>
    <w:p>
      <w:pPr>
        <w:pStyle w:val="Normal"/>
        <w:spacing w:after="200" w:line="276" w:lineRule="auto"/>
      </w:pPr>
      <w:r>
        <w:rPr>
          <w:sz w:val="24"/>
        </w:rPr>
        <w:t xml:space="preserve">During pre-flight, on the DGS MP workstation, perform the following MCI startup steps.</w:t>
      </w:r>
    </w:p>
    <w:p>
      <w:pPr>
        <w:spacing w:before="240" w:after="240"/>
      </w:pPr>
    </w:p>
    <w:tbl>
      <w:tblPr>
        <w:tblBorders>
          <w:top w:val="single" w:sz="1"/>
          <w:bottom w:val="single" w:sz="1"/>
          <w:left w:val="single" w:sz="1"/>
          <w:right w:val="single" w:sz="1"/>
          <w:insideH w:val="single" w:sz="1"/>
          <w:insideV w:val="single" w:sz="1"/>
        </w:tblBorders>
        <w:tblW w:w="5000" w:type="pct"/>
      </w:tblP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  <w:b/>
              </w:rPr>
              <w:t xml:space="preserve">Action 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  <w:b/>
              </w:rPr>
              <w:t xml:space="preserve">Result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Log into the workstation Click Launch at bottom left corner of workstation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 Figure  SEQ Figure \* ARABIC 8 Launch Button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Select Application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 Figure  SEQ Figure \* ARABIC 9 Applications Menu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/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/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For Reach Site  ASARS Mission Tools →  Mission Configuration Interface (MCI) 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 Figure  SEQ Figure \* ARABIC 10 Mission Configuration Interface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/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/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Mission Configuration Interface window appears. Click Start New.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 Figure  SEQ Figure \* ARABIC 11 Mission Configuration - Start New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The Start Mission window appears. For ASARS-2A Select pulldown Sensor Type : ASARS-2A Enter Mission ID Select pulldown option for Local Server Select pulldown option for Mission Thread Pulldown option MCE (Mission Control Element) is disabled – only selectable if selected Sensor Type is ‘Global Hawk’ 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 Figure  SEQ Figure \* ARABIC 12 ASARS-2A - Start Mission 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 Select Exploitation Segment(s) using check boxes   Click Start to start the mission as defined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 Figure  SEQ Figure \* ARABIC 13 ASARS-2A - Start Mission (To be updated…) 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The started mission will display in the Mission Configuration Interface window. Background processes will be started on the Local Server to receive data and provide external interfaces.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/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For Core Site Mission Status display 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 Figure  SEQ Figure \* ARABIC 14 Core Site - Mission Status 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For Reach Site Mission Status display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 Figure  SEQ Figure \* ARABIC 15 Reach Site - Mission Status </w:t>
            </w:r>
          </w:p>
        </w:tc>
      </w:tr>
    </w:tbl>
    <w:p>
      <w:pPr>
        <w:pStyle w:val="Heading4"/>
        <w:jc w:val="left"/>
        <w:spacing w:before="240" w:after="0"/>
      </w:pPr>
      <w:r>
        <w:rPr>
          <w:b/>
        </w:rPr>
        <w:t>MCI Shutdown</w:t>
      </w:r>
    </w:p>
    <w:p>
      <w:pPr>
        <w:pStyle w:val="Normal"/>
        <w:spacing w:after="200" w:line="276" w:lineRule="auto"/>
      </w:pPr>
      <w:r>
        <w:rPr>
          <w:sz w:val="24"/>
        </w:rPr>
        <w:t xml:space="preserve">On the DGS MP workstation, perform the following MCI shutdown steps.</w:t>
      </w:r>
    </w:p>
    <w:p>
      <w:pPr>
        <w:spacing w:before="240" w:after="240"/>
      </w:pPr>
    </w:p>
    <w:tbl>
      <w:tblPr>
        <w:tblBorders>
          <w:top w:val="single" w:sz="1"/>
          <w:bottom w:val="single" w:sz="1"/>
          <w:left w:val="single" w:sz="1"/>
          <w:right w:val="single" w:sz="1"/>
          <w:insideH w:val="single" w:sz="1"/>
          <w:insideV w:val="single" w:sz="1"/>
        </w:tblBorders>
        <w:tblW w:w="5000" w:type="pct"/>
      </w:tblP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  <w:b/>
              </w:rPr>
              <w:t xml:space="preserve">Action 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  <w:b/>
              </w:rPr>
              <w:t xml:space="preserve">Result</w:t>
            </w:r>
          </w:p>
        </w:tc>
      </w:tr>
      <w:tr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>To be provided…</w:t>
            </w:r>
          </w:p>
        </w:tc>
        <w:tc>
          <w:tcPr>
            <w:tcW w:type="auto"/>
          </w:tcPr>
          <w:p>
            <w:pPr>
              <w:pStyle w:val="TableContents"/>
            </w:pPr>
            <w:r>
              <w:rPr>
                <w:sz w:val="22"/>
              </w:rPr>
              <w:t xml:space="preserve"/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Normal"/>
    <w:next w:val="Normal"/>
    <w:rPr>
      <w:rFonts w:ascii="Times New Roman"/>
      <w:sz w:val="24"/>
    </w:rPr>
  </w:style>
  <w:style w:type="paragraph" w:styleId="Heading1" w:default="true">
    <w:name w:val="Heading 1"/>
    <w:basedOn w:val="Normal"/>
    <w:next w:val="Normal"/>
    <w:rPr>
      <w:rFonts w:ascii="Arial"/>
      <w:sz w:val="36"/>
      <w:b/>
    </w:rPr>
  </w:style>
  <w:style w:type="paragraph" w:styleId="Heading2" w:default="true">
    <w:name w:val="Heading 2"/>
    <w:basedOn w:val="Normal"/>
    <w:next w:val="Normal"/>
    <w:rPr>
      <w:rFonts w:ascii="Arial"/>
      <w:sz w:val="32"/>
      <w:b/>
    </w:rPr>
  </w:style>
  <w:style w:type="paragraph" w:styleId="Heading3" w:default="true">
    <w:name w:val="Heading 3"/>
    <w:basedOn w:val="Normal"/>
    <w:next w:val="Normal"/>
    <w:rPr>
      <w:rFonts w:ascii="Arial"/>
      <w:sz w:val="28"/>
      <w:b/>
    </w:rPr>
  </w:style>
  <w:style w:type="paragraph" w:styleId="Heading4" w:default="true">
    <w:name w:val="Heading 4"/>
    <w:basedOn w:val="Normal"/>
    <w:next w:val="Normal"/>
    <w:rPr>
      <w:rFonts w:ascii="Arial"/>
      <w:sz w:val="24"/>
      <w:b/>
    </w:rPr>
  </w:style>
  <w:style w:type="paragraph" w:styleId="TableContents" w:default="true">
    <w:name w:val="Table Contents"/>
    <w:basedOn w:val="Normal"/>
    <w:next w:val="Normal"/>
    <w:rPr>
      <w:rFonts w:ascii="Times New Roman"/>
      <w:sz w:val="22"/>
    </w:rPr>
  </w:style>
  <w:style w:type="paragraph" w:styleId="TableTitle" w:default="true">
    <w:name w:val="Table Title"/>
    <w:basedOn w:val="Normal"/>
    <w:next w:val="Normal"/>
    <w:rPr>
      <w:rFonts w:ascii="Times New Roman"/>
      <w:sz w:val="22"/>
      <w:b/>
    </w:rPr>
  </w:style>
  <w:style w:type="paragraph" w:styleId="ImageTitle" w:default="true">
    <w:name w:val="Image Title"/>
    <w:basedOn w:val="Normal"/>
    <w:next w:val="Normal"/>
    <w:rPr>
      <w:rFonts w:ascii="Times New Roman"/>
      <w:sz w:val="22"/>
      <w:b/>
    </w:rPr>
  </w:style>
  <w:style w:type="paragraph" w:styleId="ImageCaption" w:default="true">
    <w:name w:val="Image Caption"/>
    <w:basedOn w:val="Normal"/>
    <w:next w:val="Normal"/>
    <w:rPr>
      <w:rFonts w:ascii="Times New Roman"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6433fcc3f654495" /></Relationships>
</file>