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PHÂN TÍCH NGHIỆP VỤ HỆ THỐNG</w:t>
      </w:r>
    </w:p>
    <w:p>
      <w:pPr>
        <w:spacing w:after="360"/>
        <w:jc w:val="center"/>
      </w:pPr>
      <w:r>
        <w:rPr>
          <w:i/>
          <w:iCs/>
        </w:rPr>
        <w:t xml:space="preserve">Đề tài: Xây dựng ứng dụng AI hỗ trợ phân tích và kiểm tra giao dịch tài chính</w:t>
      </w:r>
    </w:p>
    <w:p>
      <w:pPr>
        <w:pStyle w:val="Heading1"/>
      </w:pPr>
      <w:r>
        <w:t xml:space="preserve">1. Mục tiêu hệ thống</w:t>
      </w:r>
    </w:p>
    <w:p>
      <w:pPr>
        <w:spacing w:after="120" w:line="312"/>
        <w:jc w:val="both"/>
      </w:pPr>
      <w:r>
        <w:t xml:space="preserve">Hệ thống hỗ trợ kế toán và kiểm soát viên kiểm tra các khoản chi của doanh nghiệp: tự động phân loại loại chi phí, phát hiện giao dịch bất thường hoặc vi phạm quy định, giải thích lý do kèm trích dẫn quy định liên quan, chỉ ra thông tin cần kiểm tra và đề xuất bước xử lý tiếp theo.</w:t>
      </w:r>
    </w:p>
    <w:p>
      <w:pPr>
        <w:spacing w:after="120" w:line="312"/>
        <w:jc w:val="both"/>
      </w:pPr>
      <w:r>
        <w:t xml:space="preserve">Hệ thống chỉ đóng vai trò </w:t>
      </w:r>
      <w:r>
        <w:rPr>
          <w:b/>
          <w:bCs/>
        </w:rPr>
        <w:t xml:space="preserve">hỗ trợ</w:t>
      </w:r>
      <w:r>
        <w:t xml:space="preserve">. Quyết định cuối cùng (chấp nhận, yêu cầu bổ sung, từ chối) do con người đưa ra.</w:t>
      </w:r>
    </w:p>
    <w:p>
      <w:pPr>
        <w:pStyle w:val="Heading1"/>
      </w:pPr>
      <w:r>
        <w:t xml:space="preserve">2. Tác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71"/>
      </w:tblGrid>
      <w:tr>
        <w:trPr>
          <w:tblHeader/>
        </w:trPr>
        <w:tc>
          <w:tcPr>
            <w:tcW w:type="dxa" w:w="22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Tác nhân</w:t>
            </w:r>
          </w:p>
        </w:tc>
        <w:tc>
          <w:tcPr>
            <w:tcW w:type="dxa" w:w="20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Vai trò</w:t>
            </w:r>
          </w:p>
        </w:tc>
        <w:tc>
          <w:tcPr>
            <w:tcW w:type="dxa" w:w="48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Tương tác chính với hệ thống</w:t>
            </w:r>
          </w:p>
        </w:tc>
      </w:tr>
      <w:tr>
        <w:trPr>
          <w:cantSplit/>
        </w:trPr>
        <w:tc>
          <w:tcPr>
            <w:tcW w:type="dxa" w:w="22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 / kiểm soát viên</w:t>
            </w:r>
          </w:p>
        </w:tc>
        <w:tc>
          <w:tcPr>
            <w:tcW w:type="dxa" w:w="20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Người dùng chính</w:t>
            </w:r>
          </w:p>
        </w:tc>
        <w:tc>
          <w:tcPr>
            <w:tcW w:type="dxa" w:w="48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Xem danh sách giao dịch bị cảnh báo, đọc giải thích, tra cứu thêm, tạo yêu cầu review</w:t>
            </w:r>
          </w:p>
        </w:tc>
      </w:tr>
      <w:tr>
        <w:trPr>
          <w:cantSplit/>
        </w:trPr>
        <w:tc>
          <w:tcPr>
            <w:tcW w:type="dxa" w:w="22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lý</w:t>
            </w:r>
          </w:p>
        </w:tc>
        <w:tc>
          <w:tcPr>
            <w:tcW w:type="dxa" w:w="20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Người phê duyệt</w:t>
            </w:r>
          </w:p>
        </w:tc>
        <w:tc>
          <w:tcPr>
            <w:tcW w:type="dxa" w:w="48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Phê duyệt hoặc từ chối yêu cầu review, xem báo cáo tổng hợp</w:t>
            </w:r>
          </w:p>
        </w:tc>
      </w:tr>
      <w:tr>
        <w:trPr>
          <w:cantSplit/>
        </w:trPr>
        <w:tc>
          <w:tcPr>
            <w:tcW w:type="dxa" w:w="22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trị hệ thống</w:t>
            </w:r>
          </w:p>
        </w:tc>
        <w:tc>
          <w:tcPr>
            <w:tcW w:type="dxa" w:w="20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Cấu hình</w:t>
            </w:r>
          </w:p>
        </w:tc>
        <w:tc>
          <w:tcPr>
            <w:tcW w:type="dxa" w:w="48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lý văn bản quy định, ngưỡng của các rule, ngân sách, danh sách nhà cung cấp</w:t>
            </w:r>
          </w:p>
        </w:tc>
      </w:tr>
      <w:tr>
        <w:trPr>
          <w:cantSplit/>
        </w:trPr>
        <w:tc>
          <w:tcPr>
            <w:tcW w:type="dxa" w:w="22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Nhân viên</w:t>
            </w:r>
          </w:p>
        </w:tc>
        <w:tc>
          <w:tcPr>
            <w:tcW w:type="dxa" w:w="20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Người phát sinh khoản chi</w:t>
            </w:r>
          </w:p>
        </w:tc>
        <w:tc>
          <w:tcPr>
            <w:tcW w:type="dxa" w:w="48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Trong phạm vi đồ án, giao dịch của nhân viên được import sẵn từ dữ liệu</w:t>
            </w:r>
          </w:p>
        </w:tc>
      </w:tr>
    </w:tbl>
    <w:p>
      <w:pPr>
        <w:spacing w:after="120"/>
      </w:pPr>
    </w:p>
    <w:p>
      <w:pPr>
        <w:pStyle w:val="Heading1"/>
      </w:pPr>
      <w:r>
        <w:t xml:space="preserve">3. Luồng nghiệp vụ</w:t>
      </w:r>
    </w:p>
    <w:p>
      <w:pPr>
        <w:spacing w:after="120" w:line="312"/>
        <w:jc w:val="both"/>
      </w:pPr>
      <w:r>
        <w:t xml:space="preserve">Mỗi giao dịch khi được đưa vào hệ thống sẽ đi qua chuỗi bước kiểm tra như Hình 1. Màu của từng bước thể hiện cách xử lý: rule (logic cứng), mô hình học máy tự huấn luyện, LLM, hoặc con người.</w:t>
      </w:r>
    </w:p>
    <w:p>
      <w:pPr>
        <w:keepNext/>
        <w:spacing w:before="120"/>
        <w:jc w:val="center"/>
      </w:pPr>
      <w:r>
        <w:drawing>
          <wp:inline distT="0" distB="0" distL="0" distR="0">
            <wp:extent cx="5762625" cy="2428875"/>
            <wp:effectExtent t="0" r="0" b="0" l="0"/>
            <wp:docPr id="1" name="flow" descr="Sơ đồ 9 bước kiểm tra giao dịch" title="Luồng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428875"/>
                    </a:xfrm>
                    <a:prstGeom prst="rect">
                      <a:avLst/>
                    </a:prstGeom>
                  </pic:spPr>
                </pic:pic>
              </a:graphicData>
            </a:graphic>
          </wp:inline>
        </w:drawing>
      </w:r>
    </w:p>
    <w:p>
      <w:pPr>
        <w:spacing w:after="200" w:before="60"/>
        <w:jc w:val="center"/>
      </w:pPr>
      <w:r>
        <w:rPr>
          <w:i/>
          <w:iCs/>
          <w:sz w:val="24"/>
          <w:szCs w:val="24"/>
        </w:rPr>
        <w:t xml:space="preserve">Hình 1. Luồng nghiệp vụ kiểm tra giao dịch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371"/>
        <w:gridCol w:w="2400"/>
      </w:tblGrid>
      <w:tr>
        <w:trPr>
          <w:tblHeader/>
        </w:trPr>
        <w:tc>
          <w:tcPr>
            <w:tcW w:type="dxa" w:w="23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Bước</w:t>
            </w:r>
          </w:p>
        </w:tc>
        <w:tc>
          <w:tcPr>
            <w:tcW w:type="dxa" w:w="43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Mô tả</w:t>
            </w:r>
          </w:p>
        </w:tc>
        <w:tc>
          <w:tcPr>
            <w:tcW w:type="dxa" w:w="24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Kết quả đầu ra</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1. Nhập giao dịch</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Import file CSV hoặc nhập tay, chuẩn hóa dữ liệu</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Giao dịch đã chuẩn hóa</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2. Kiểm tra dữ liệu</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Thiếu trường bắt buộc, sai định dạng, thiếu hóa đơn hoặc mã số thuế</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Danh sách lỗi dữ liệu</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3. Phân loại chi phí</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Gán loại chi phí: công tác, văn phòng phẩm, thiết bị CNTT, tiếp khách, đào tạo…</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Loại chi phí + độ tin cậy</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4. Kiểm tra quy định &amp; ngân sách</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Vượt hạn mức phê duyệt, trùng hóa đơn, chia nhỏ giao dịch, vượt ngân sách, nhà cung cấp hoặc danh mục bị cấm, giao dịch ngày nghỉ</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Danh sách vi phạm (mã rule, mức độ, bằng chứng)</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5. Phát hiện bất thường</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So sánh với lịch sử của cùng nhà cung cấp, phòng ban, loại chi phí</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Điểm bất thường + các yếu tố gây ra</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6. Xếp mức rủi ro</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Tổng hợp kết quả bước 2–5 theo công thức cố định</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Bình thường / Cần review / Cảnh báo cao</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7. Giải thích &amp; đề xuất</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Chỉ thực hiện với giao dịch cần review hoặc bị cảnh báo</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Lý do, trích dẫn quy định, thông tin cần kiểm tra, bước xử lý</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8. Kế toán review</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Đọc giải thích, hỏi thêm qua khung chat (tra cứu giao dịch, lịch sử nhà cung cấp, ngân sách)</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Yêu cầu review (nếu cần)</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9. Quản lý phê duyệt</w:t>
            </w:r>
          </w:p>
        </w:tc>
        <w:tc>
          <w:tcPr>
            <w:tcW w:type="dxa" w:w="43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Xem yêu cầu review và quyết định</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Trạng thái cuối của giao dịch</w:t>
            </w:r>
          </w:p>
        </w:tc>
      </w:tr>
    </w:tbl>
    <w:p>
      <w:pPr>
        <w:spacing w:after="120"/>
      </w:pPr>
    </w:p>
    <w:p>
      <w:pPr>
        <w:spacing w:after="120" w:line="312"/>
        <w:jc w:val="both"/>
      </w:pPr>
      <w:r>
        <w:t xml:space="preserve">Bước 3 được đặt trước bước 4 vì một số rule phụ thuộc vào loại chi phí, ví dụ ngân sách được cấp theo từng loại chi phí, hay một số loại chi phí bị cấm.</w:t>
      </w:r>
    </w:p>
    <w:p>
      <w:pPr>
        <w:pStyle w:val="Heading1"/>
      </w:pPr>
      <w:r>
        <w:t xml:space="preserve">4. Quy tắc nghiệp vụ kiểm tra</w:t>
      </w:r>
    </w:p>
    <w:p>
      <w:pPr>
        <w:spacing w:after="120" w:line="312"/>
        <w:jc w:val="both"/>
      </w:pPr>
      <w:r>
        <w:t xml:space="preserve">Các điều kiện dưới đây xác định được rõ ràng nên được kiểm tra bằng rule trong mã nguồn, không giao cho AI. Ngưỡng cụ thể do doanh nghiệp cấu hình; các con số trong bảng chỉ là ví dụ.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71"/>
        <w:gridCol w:w="1500"/>
      </w:tblGrid>
      <w:tr>
        <w:trPr>
          <w:tblHeader/>
        </w:trPr>
        <w:tc>
          <w:tcPr>
            <w:tcW w:type="dxa" w:w="7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Mã</w:t>
            </w:r>
          </w:p>
        </w:tc>
        <w:tc>
          <w:tcPr>
            <w:tcW w:type="dxa" w:w="23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Quy tắc</w:t>
            </w:r>
          </w:p>
        </w:tc>
        <w:tc>
          <w:tcPr>
            <w:tcW w:type="dxa" w:w="45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Điều kiện vi phạm</w:t>
            </w:r>
          </w:p>
        </w:tc>
        <w:tc>
          <w:tcPr>
            <w:tcW w:type="dxa" w:w="15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Mức độ</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R01</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Thiếu chứng từ</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Không có số hóa đơn hoặc mã số thuế của nhà cung cấp</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Trung bình</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R02</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Vượt hạn mức phê duyệt</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Số tiền lớn hơn hạn mức theo cấp của người chi (ví dụ nhân viên: 20 triệu đồng)</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R03</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Trùng hóa đơn</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Trùng số hóa đơn, hoặc cùng nhà cung cấp, cùng số tiền, cách nhau không quá 3 ngày</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R04</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Chia nhỏ giao dịch</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Từ 2 giao dịch trở lên của cùng người chi, cùng nhà cung cấp trong 7 ngày; mỗi giao dịch dưới hạn mức nhưng tổng vượt hạn mức</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R05</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Vượt ngân sách</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Lũy kế chi của phòng ban theo loại chi phí trong kỳ vượt 90% ngân sách (Thấp) hoặc vượt 100% (Cao)</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Thấp / 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R06</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Thanh toán tiền mặt vượt ngưỡng</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Thanh toán tiền mặt từ ngưỡng mà quy định thuế yêu cầu phải chuyển khoản</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Trung bình</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R07</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Nhà cung cấp chưa được duyệt</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Nhà cung cấp chưa có trong danh sách đã đăng ký (Trung bình) hoặc nằm trong danh sách hạn chế (Cao)</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Trung bình / 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R08</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Loại chi phí không được phép</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Loại chi phí thuộc danh mục cấm theo quy chế (ví dụ: rượu bia, giải trí cá nhân)</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Cao</w:t>
            </w:r>
          </w:p>
        </w:tc>
      </w:tr>
      <w:tr>
        <w:trPr>
          <w:cantSplit/>
        </w:trPr>
        <w:tc>
          <w:tcPr>
            <w:tcW w:type="dxa" w:w="7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R09</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Giao dịch ngày nghỉ</w:t>
            </w:r>
          </w:p>
        </w:tc>
        <w:tc>
          <w:tcPr>
            <w:tcW w:type="dxa" w:w="45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Phát sinh vào cuối tuần hoặc ngày lễ</w:t>
            </w:r>
          </w:p>
        </w:tc>
        <w:tc>
          <w:tcPr>
            <w:tcW w:type="dxa" w:w="1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Thấp</w:t>
            </w:r>
          </w:p>
        </w:tc>
      </w:tr>
    </w:tbl>
    <w:p>
      <w:pPr>
        <w:spacing w:after="120"/>
      </w:pPr>
    </w:p>
    <w:p>
      <w:pPr>
        <w:spacing w:after="120" w:line="312"/>
        <w:jc w:val="both"/>
      </w:pPr>
      <w:r>
        <w:rPr>
          <w:b/>
          <w:bCs/>
        </w:rPr>
        <w:t xml:space="preserve">Quy tắc xếp mức rủi ro (bước 6):</w:t>
      </w:r>
    </w:p>
    <w:p>
      <w:pPr>
        <w:pStyle w:val="ListParagraph"/>
        <w:numPr>
          <w:ilvl w:val="0"/>
          <w:numId w:val="2"/>
        </w:numPr>
        <w:spacing w:after="80" w:line="312"/>
        <w:jc w:val="both"/>
      </w:pPr>
      <w:r>
        <w:rPr>
          <w:b/>
          <w:bCs/>
        </w:rPr>
        <w:t xml:space="preserve">Cảnh báo cao:</w:t>
      </w:r>
      <w:r>
        <w:t xml:space="preserve"> có ít nhất một vi phạm mức Cao.</w:t>
      </w:r>
    </w:p>
    <w:p>
      <w:pPr>
        <w:pStyle w:val="ListParagraph"/>
        <w:numPr>
          <w:ilvl w:val="0"/>
          <w:numId w:val="2"/>
        </w:numPr>
        <w:spacing w:after="80" w:line="312"/>
        <w:jc w:val="both"/>
      </w:pPr>
      <w:r>
        <w:rPr>
          <w:b/>
          <w:bCs/>
        </w:rPr>
        <w:t xml:space="preserve">Cần review:</w:t>
      </w:r>
      <w:r>
        <w:t xml:space="preserve"> có vi phạm mức Trung bình, hoặc điểm bất thường vượt ngưỡng, hoặc mô hình phân loại có độ tin cậy thấp.</w:t>
      </w:r>
    </w:p>
    <w:p>
      <w:pPr>
        <w:pStyle w:val="ListParagraph"/>
        <w:numPr>
          <w:ilvl w:val="0"/>
          <w:numId w:val="2"/>
        </w:numPr>
        <w:spacing w:after="80" w:line="312"/>
        <w:jc w:val="both"/>
      </w:pPr>
      <w:r>
        <w:rPr>
          <w:b/>
          <w:bCs/>
        </w:rPr>
        <w:t xml:space="preserve">Bình thường:</w:t>
      </w:r>
      <w:r>
        <w:t xml:space="preserve"> các trường hợp còn lại. Vi phạm mức Thấp chỉ được ghi chú, không chặn giao dịch.</w:t>
      </w:r>
    </w:p>
    <w:p>
      <w:pPr>
        <w:pStyle w:val="Heading1"/>
      </w:pPr>
      <w:r>
        <w:t xml:space="preserve">5. Trạng thái xử lý giao dịch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171"/>
        <w:gridCol w:w="2400"/>
        <w:gridCol w:w="1600"/>
      </w:tblGrid>
      <w:tr>
        <w:trPr>
          <w:tblHeader/>
        </w:trPr>
        <w:tc>
          <w:tcPr>
            <w:tcW w:type="dxa" w:w="19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Trạng thái</w:t>
            </w:r>
          </w:p>
        </w:tc>
        <w:tc>
          <w:tcPr>
            <w:tcW w:type="dxa" w:w="31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Ý nghĩa</w:t>
            </w:r>
          </w:p>
        </w:tc>
        <w:tc>
          <w:tcPr>
            <w:tcW w:type="dxa" w:w="24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Chuyển sang</w:t>
            </w:r>
          </w:p>
        </w:tc>
        <w:tc>
          <w:tcPr>
            <w:tcW w:type="dxa" w:w="16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Người thực hiện</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Mới</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Giao dịch vừa được nhập</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Bình thường hoặc Chờ review</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Hệ thống</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Bình thường</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Không có dấu hiệu cần xem xét, kết thúc xử lý</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Hệ thống</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Chờ review</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Bị cảnh báo, đã có giải thích của AI, chờ kế toán xem</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Đang review</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Đang review</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 đang kiểm tra</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Chấp nhận / Chờ bổ sung / Chờ phê duyệt</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Chờ bổ sung</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Yêu cầu người chi bổ sung chứng từ hoặc giải trình</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Đang review (khi đã bổ sung)</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Người chi</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Chờ phê duyệt</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Vượt thẩm quyền kế toán, chuyển cấp quản lý</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Đã duyệt / Từ chối</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lý</w:t>
            </w:r>
          </w:p>
        </w:tc>
      </w:tr>
      <w:tr>
        <w:trPr>
          <w:cantSplit/>
        </w:trPr>
        <w:tc>
          <w:tcPr>
            <w:tcW w:type="dxa" w:w="19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Chấp nhận / Đã duyệt / Từ chối</w:t>
            </w:r>
          </w:p>
        </w:tc>
        <w:tc>
          <w:tcPr>
            <w:tcW w:type="dxa" w:w="31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Trạng thái cuối, lưu lại lý do và người quyết định</w:t>
            </w:r>
          </w:p>
        </w:tc>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w:t>
            </w:r>
          </w:p>
        </w:tc>
      </w:tr>
    </w:tbl>
    <w:p>
      <w:pPr>
        <w:spacing w:after="120"/>
      </w:pPr>
    </w:p>
    <w:p>
      <w:pPr>
        <w:spacing w:after="120" w:line="312"/>
        <w:jc w:val="both"/>
      </w:pPr>
      <w:r>
        <w:t xml:space="preserve">Mọi lần chuyển trạng thái đều được lưu vết (thời điểm, người thực hiện, lý do) để phục vụ kiểm tra sau này.</w:t>
      </w:r>
    </w:p>
    <w:p>
      <w:pPr>
        <w:pStyle w:val="Heading1"/>
      </w:pPr>
      <w:r>
        <w:t xml:space="preserve">6. Chức năng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5071"/>
        <w:gridCol w:w="1600"/>
      </w:tblGrid>
      <w:tr>
        <w:trPr>
          <w:tblHeader/>
        </w:trPr>
        <w:tc>
          <w:tcPr>
            <w:tcW w:type="dxa" w:w="24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Nhóm chức năng</w:t>
            </w:r>
          </w:p>
        </w:tc>
        <w:tc>
          <w:tcPr>
            <w:tcW w:type="dxa" w:w="50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Chức năng chính</w:t>
            </w:r>
          </w:p>
        </w:tc>
        <w:tc>
          <w:tcPr>
            <w:tcW w:type="dxa" w:w="16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Người dùng</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F1. Quản lý giao dịch</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Import CSV; xem, lọc, tìm kiếm danh sách; xem chi tiết giao dịch</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F2. Kiểm tra tự động</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Chạy bước 2–6 khi import; chạy lại khi quy định hoặc ngưỡng thay đổi</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Hệ thống</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F3. Giải thích bằng AI</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Sinh giải thích có trích dẫn quy định cho giao dịch bị cảnh báo</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F4. Trợ lý tra cứu (chat)</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Hỏi đáp tự nhiên; tra cứu giao dịch, lịch sử nhà cung cấp, kiểm tra ngân sách, tạo yêu cầu review (có bước xác nhận của người dùng)</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F5. Quản lý review</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Xử lý giao dịch theo các trạng thái ở mục 5; lưu lịch sử xử lý</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 quản lý</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F6. Quản trị</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lý văn bản quy định, ngưỡng rule, ngân sách, danh sách nhà cung cấp</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trị</w:t>
            </w:r>
          </w:p>
        </w:tc>
      </w:tr>
      <w:tr>
        <w:trPr>
          <w:cantSplit/>
        </w:trPr>
        <w:tc>
          <w:tcPr>
            <w:tcW w:type="dxa" w:w="24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F7. Báo cáo</w:t>
            </w:r>
          </w:p>
        </w:tc>
        <w:tc>
          <w:tcPr>
            <w:tcW w:type="dxa" w:w="50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Thống kê theo mức rủi ro, loại chi phí, phòng ban, thời gian</w:t>
            </w:r>
          </w:p>
        </w:tc>
        <w:tc>
          <w:tcPr>
            <w:tcW w:type="dxa" w:w="16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Quản lý</w:t>
            </w:r>
          </w:p>
        </w:tc>
      </w:tr>
    </w:tbl>
    <w:p>
      <w:pPr>
        <w:spacing w:after="120"/>
      </w:pPr>
    </w:p>
    <w:p>
      <w:pPr>
        <w:pStyle w:val="Heading1"/>
      </w:pPr>
      <w:r>
        <w:t xml:space="preserve">7. Xác định bước sử dụng AI</w:t>
      </w:r>
    </w:p>
    <w:p>
      <w:pPr>
        <w:spacing w:after="120" w:line="312"/>
        <w:jc w:val="both"/>
      </w:pPr>
      <w:r>
        <w:t xml:space="preserve">Nguyên tắc lựa chọn cách xử lý cho từng bước:</w:t>
      </w:r>
    </w:p>
    <w:p>
      <w:pPr>
        <w:pStyle w:val="ListParagraph"/>
        <w:numPr>
          <w:ilvl w:val="0"/>
          <w:numId w:val="2"/>
        </w:numPr>
        <w:spacing w:after="80" w:line="312"/>
        <w:jc w:val="both"/>
      </w:pPr>
      <w:r>
        <w:t xml:space="preserve">Điều kiện xác định được bằng ngưỡng hoặc so khớp → </w:t>
      </w:r>
      <w:r>
        <w:rPr>
          <w:b/>
          <w:bCs/>
        </w:rPr>
        <w:t xml:space="preserve">rule</w:t>
      </w:r>
      <w:r>
        <w:t xml:space="preserve">: chính xác, giải thích được, cho kết quả giống nhau mỗi lần chạy.</w:t>
      </w:r>
    </w:p>
    <w:p>
      <w:pPr>
        <w:pStyle w:val="ListParagraph"/>
        <w:numPr>
          <w:ilvl w:val="0"/>
          <w:numId w:val="2"/>
        </w:numPr>
        <w:spacing w:after="80" w:line="312"/>
        <w:jc w:val="both"/>
      </w:pPr>
      <w:r>
        <w:t xml:space="preserve">Cần học quy luật từ lượng lớn dữ liệu lịch sử → </w:t>
      </w:r>
      <w:r>
        <w:rPr>
          <w:b/>
          <w:bCs/>
        </w:rPr>
        <w:t xml:space="preserve">mô hình học máy tự huấn luyện</w:t>
      </w:r>
      <w:r>
        <w:t xml:space="preserve">.</w:t>
      </w:r>
    </w:p>
    <w:p>
      <w:pPr>
        <w:pStyle w:val="ListParagraph"/>
        <w:numPr>
          <w:ilvl w:val="0"/>
          <w:numId w:val="2"/>
        </w:numPr>
        <w:spacing w:after="80" w:line="312"/>
        <w:jc w:val="both"/>
      </w:pPr>
      <w:r>
        <w:t xml:space="preserve">Cần hiểu hoặc sinh ngôn ngữ tự nhiên → </w:t>
      </w:r>
      <w:r>
        <w:rPr>
          <w:b/>
          <w:bCs/>
        </w:rPr>
        <w:t xml:space="preserve">LLM</w:t>
      </w:r>
      <w:r>
        <w:t xml:space="preserve">.</w:t>
      </w:r>
    </w:p>
    <w:p>
      <w:pPr>
        <w:pStyle w:val="ListParagraph"/>
        <w:numPr>
          <w:ilvl w:val="0"/>
          <w:numId w:val="2"/>
        </w:numPr>
        <w:spacing w:after="80" w:line="312"/>
        <w:jc w:val="both"/>
      </w:pPr>
      <w:r>
        <w:t xml:space="preserve">LLM </w:t>
      </w:r>
      <w:r>
        <w:rPr>
          <w:b/>
          <w:bCs/>
        </w:rPr>
        <w:t xml:space="preserve">không</w:t>
      </w:r>
      <w:r>
        <w:t xml:space="preserve"> quyết định giao dịch có vi phạm hay không và không thay đổi mức rủi ro; LLM chỉ diễn giải các kết quả đã có.</w:t>
      </w:r>
    </w:p>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71"/>
      </w:tblGrid>
      <w:tr>
        <w:trPr>
          <w:tblHeader/>
        </w:trPr>
        <w:tc>
          <w:tcPr>
            <w:tcW w:type="dxa" w:w="23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Bước</w:t>
            </w:r>
          </w:p>
        </w:tc>
        <w:tc>
          <w:tcPr>
            <w:tcW w:type="dxa" w:w="23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Cách xử lý</w:t>
            </w:r>
          </w:p>
        </w:tc>
        <w:tc>
          <w:tcPr>
            <w:tcW w:type="dxa" w:w="44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Lý do lựa chọn</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2. Kiểm tra dữ liệu</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Rule</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Điều kiện rõ ràng (có/không, đúng/sai định dạng)</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3. Phân loại chi phí</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Mô hình tự huấn luyện, LLM làm dự phòng</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Phân tích chi tiết ở mục 8</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4. Kiểm tra quy định</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Rule (mục 4)</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Có ngưỡng cụ thể, yêu cầu đúng tuyệt đối và kiểm tra lại được. LLM có thể tính sai, bỏ sót và cho kết quả khác nhau giữa các lần chạy</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5. Phát hiện bất thường</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Mô hình học máy không giám sát</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Phải so với hàng trăm nghìn giao dịch lịch sử để biết thế nào là “bình thường”; LLM không làm được việc này. Dữ liệu không có nhãn nên dùng phương pháp không giám sát</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6. Xếp mức rủi ro</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Rule (mục 4)</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Công thức cố định, minh bạch</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7. Giải thích &amp; đề xuất</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LLM + RAG</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Cần tổng hợp nhiều nguồn (kết quả rule, mô hình, văn bản quy định) và diễn đạt bằng ngôn ngữ tự nhiên; RAG giúp trích dẫn đúng điều khoản</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8. Trợ lý tra cứu</w:t>
            </w:r>
          </w:p>
        </w:tc>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LLM + tool</w:t>
            </w:r>
          </w:p>
        </w:tc>
        <w:tc>
          <w:tcPr>
            <w:tcW w:type="dxa" w:w="44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Câu hỏi của người dùng không cố định. Số liệu được lấy từ cơ sở dữ liệu qua tool, LLM không tự đưa ra số liệu</w:t>
            </w:r>
          </w:p>
        </w:tc>
      </w:tr>
    </w:tbl>
    <w:p>
      <w:pPr>
        <w:spacing w:after="120"/>
      </w:pPr>
    </w:p>
    <w:p>
      <w:pPr>
        <w:spacing w:after="120" w:line="312"/>
        <w:jc w:val="both"/>
      </w:pPr>
      <w:r>
        <w:t xml:space="preserve">Như vậy, AI chỉ được sử dụng ở bốn bước: 3, 5, 7 và 8.</w:t>
      </w:r>
    </w:p>
    <w:p>
      <w:pPr>
        <w:pStyle w:val="Heading1"/>
      </w:pPr>
      <w:r>
        <w:t xml:space="preserve">8. Phân loại chi phí: huấn luyện mô hình hay gọi LLM?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285"/>
        <w:gridCol w:w="3286"/>
      </w:tblGrid>
      <w:tr>
        <w:trPr>
          <w:tblHeader/>
        </w:trPr>
        <w:tc>
          <w:tcPr>
            <w:tcW w:type="dxa" w:w="25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Tiêu chí</w:t>
            </w:r>
          </w:p>
        </w:tc>
        <w:tc>
          <w:tcPr>
            <w:tcW w:type="dxa" w:w="3285"/>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Huấn luyện mô hình</w:t>
            </w:r>
          </w:p>
        </w:tc>
        <w:tc>
          <w:tcPr>
            <w:tcW w:type="dxa" w:w="3286"/>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Gọi LLM (không huấn luyện)</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Dữ liệu có nhãn</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Cần. Có thể tạo từ mã ngành hàng có sẵn trong dữ liệu giao dịch</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Không cần</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Tốc độ</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Hàng nghìn giao dịch/giây</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1–3 giây/giao dịch</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Chi phí khi xử lý số lượng lớn</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Gần như bằng 0</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Tính phí theo từng lần gọi, tăng theo số giao dịch</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Tính ổn định</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Cùng đầu vào cho cùng kết quả</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Kết quả có thể dao động</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Thêm loại chi phí mới</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Phải gán nhãn và huấn luyện lại</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Chỉ cần sửa prompt</w:t>
            </w:r>
          </w:p>
        </w:tc>
      </w:tr>
      <w:tr>
        <w:trPr>
          <w:cantSplit/>
        </w:trPr>
        <w:tc>
          <w:tcPr>
            <w:tcW w:type="dxa" w:w="25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Mô tả lạ, hiếm gặp</w:t>
            </w:r>
          </w:p>
        </w:tc>
        <w:tc>
          <w:tcPr>
            <w:tcW w:type="dxa" w:w="3285"/>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Dễ sai nếu ít dữ liệu</w:t>
            </w:r>
          </w:p>
        </w:tc>
        <w:tc>
          <w:tcPr>
            <w:tcW w:type="dxa" w:w="3286"/>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Tốt nhờ kiến thức có sẵn</w:t>
            </w:r>
          </w:p>
        </w:tc>
      </w:tr>
    </w:tbl>
    <w:p>
      <w:pPr>
        <w:spacing w:after="120"/>
      </w:pPr>
    </w:p>
    <w:p>
      <w:pPr>
        <w:spacing w:after="120" w:line="312"/>
        <w:jc w:val="both"/>
      </w:pPr>
      <w:r>
        <w:rPr>
          <w:b/>
          <w:bCs/>
        </w:rPr>
        <w:t xml:space="preserve">Đề xuất:</w:t>
      </w:r>
      <w:r>
        <w:t xml:space="preserve"> dùng mô hình tự huấn luyện làm chính; chỉ những giao dịch mà mô hình có độ tin cậy thấp mới được gửi sang LLM để phân loại lại. Cách kết hợp này vừa nhanh, ổn định, vừa tận dụng được LLM ở các trường hợp khó.</w:t>
      </w:r>
    </w:p>
    <w:p>
      <w:pPr>
        <w:spacing w:after="120" w:line="312"/>
        <w:jc w:val="both"/>
      </w:pPr>
      <w:r>
        <w:t xml:space="preserve">Để có cơ sở cho lựa chọn trên, đồ án sẽ thực nghiệm so sánh ba cách: (a) chỉ mô hình huấn luyện, (b) chỉ LLM, (c) kết hợp, trên cùng một tập giao dịch kiểm tra, theo độ chính xác, thời gian xử lý và chi phí.</w:t>
      </w:r>
    </w:p>
    <w:p>
      <w:pPr>
        <w:pStyle w:val="Heading1"/>
      </w:pPr>
      <w:r>
        <w:t xml:space="preserve">9. Ví dụ minh họa</w:t>
      </w:r>
    </w:p>
    <w:p>
      <w:pPr>
        <w:spacing w:after="120" w:line="312"/>
        <w:jc w:val="both"/>
      </w:pPr>
      <w:r>
        <w:t xml:space="preserve">Ví dụ sau (số liệu giả định) mô tả một giao dịch đi qua toàn bộ luồng nghiệp vụ.</w:t>
      </w:r>
    </w:p>
    <w:p>
      <w:pPr>
        <w:spacing w:after="120" w:line="312"/>
        <w:jc w:val="both"/>
      </w:pPr>
      <w:r>
        <w:rPr>
          <w:b/>
          <w:bCs/>
        </w:rPr>
        <w:t xml:space="preserve">Giao dịch:</w:t>
      </w:r>
      <w:r>
        <w:t xml:space="preserve"> nhân viên phòng Kinh doanh thanh toán 18.500.000 đồng cho Công ty TNHH Thiết bị Minh Phát, mô tả “Mua màn hình máy tính”, vào thứ Bảy. Hai ngày trước, cùng nhân viên này đã thanh toán 17.900.000 đồng cho cùng nhà cung cấp. Hạn mức phê duyệt của nhân viên là 20 triệu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Bước</w:t>
            </w:r>
          </w:p>
        </w:tc>
        <w:tc>
          <w:tcPr>
            <w:tcW w:type="dxa" w:w="6771"/>
            <w:tcBorders>
              <w:top w:val="single" w:color="8C959F" w:sz="4"/>
              <w:left w:val="single" w:color="8C959F" w:sz="4"/>
              <w:bottom w:val="single" w:color="8C959F" w:sz="4"/>
              <w:right w:val="single" w:color="8C959F" w:sz="4"/>
            </w:tcBorders>
            <w:shd w:fill="DCE6F2" w:color="auto" w:val="clear"/>
            <w:tcMar>
              <w:top w:type="dxa" w:w="60"/>
              <w:left w:type="dxa" w:w="100"/>
              <w:bottom w:type="dxa" w:w="60"/>
              <w:right w:type="dxa" w:w="100"/>
            </w:tcMar>
          </w:tcPr>
          <w:p>
            <w:pPr>
              <w:spacing w:after="40"/>
            </w:pPr>
            <w:r>
              <w:rPr>
                <w:b/>
                <w:bCs/>
                <w:sz w:val="24"/>
                <w:szCs w:val="24"/>
              </w:rPr>
              <w:t xml:space="preserve">Kết quả</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2. Kiểm tra dữ liệu</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Đủ số hóa đơn và mã số thuế</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3. Phân loại chi phí</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Thiết bị CNTT (độ tin cậy 0,93)</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4. Kiểm tra quy định</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R04 – Chia nhỏ giao dịch (Cao): tổng 36,4 triệu vượt hạn mức 20 triệu</w:t>
            </w:r>
          </w:p>
          <w:p>
            <w:pPr>
              <w:spacing w:after="40"/>
            </w:pPr>
            <w:r>
              <w:rPr>
                <w:sz w:val="24"/>
                <w:szCs w:val="24"/>
              </w:rPr>
              <w:t xml:space="preserve">R07 – Nhà cung cấp chưa đăng ký (Trung bình)</w:t>
            </w:r>
          </w:p>
          <w:p>
            <w:pPr>
              <w:spacing w:after="40"/>
            </w:pPr>
            <w:r>
              <w:rPr>
                <w:sz w:val="24"/>
                <w:szCs w:val="24"/>
              </w:rPr>
              <w:t xml:space="preserve">R09 – Giao dịch ngày nghỉ (Thấp)</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5. Phát hiện bất thường</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Điểm bất thường cao. Yếu tố chính: số tiền gấp khoảng 6 lần mức chi CNTT thông thường của phòng; nhà cung cấp lần đầu xuất hiện</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6. Xếp mức rủi ro</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Cảnh báo cao (do có vi phạm R04 mức Cao)</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7. Giải thích của AI</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b/>
                <w:bCs/>
                <w:sz w:val="24"/>
                <w:szCs w:val="24"/>
              </w:rPr>
              <w:t xml:space="preserve">Lý do:</w:t>
            </w:r>
            <w:r>
              <w:rPr>
                <w:sz w:val="24"/>
                <w:szCs w:val="24"/>
              </w:rPr>
              <w:t xml:space="preserve"> hai khoản mua cùng nhà cung cấp trong 2 ngày, mỗi khoản dưới hạn mức nhưng tổng vượt hạn mức, có dấu hiệu chia nhỏ để tránh phê duyệt (theo điều khoản về hạn mức phê duyệt trong quy chế chi tiêu). Nhà cung cấp chưa có trong danh sách đã đăng ký.</w:t>
            </w:r>
          </w:p>
          <w:p>
            <w:pPr>
              <w:spacing w:after="40"/>
            </w:pPr>
            <w:r>
              <w:rPr>
                <w:b/>
                <w:bCs/>
                <w:sz w:val="24"/>
                <w:szCs w:val="24"/>
              </w:rPr>
              <w:t xml:space="preserve">Cần kiểm tra:</w:t>
            </w:r>
            <w:r>
              <w:rPr>
                <w:sz w:val="24"/>
                <w:szCs w:val="24"/>
              </w:rPr>
              <w:t xml:space="preserve"> hai hóa đơn có thuộc cùng một đơn hàng không; tờ trình mua sắm; lý do chọn nhà cung cấp chưa đăng ký.</w:t>
            </w:r>
          </w:p>
          <w:p>
            <w:pPr>
              <w:spacing w:after="40"/>
            </w:pPr>
            <w:r>
              <w:rPr>
                <w:b/>
                <w:bCs/>
                <w:sz w:val="24"/>
                <w:szCs w:val="24"/>
              </w:rPr>
              <w:t xml:space="preserve">Đề xuất:</w:t>
            </w:r>
            <w:r>
              <w:rPr>
                <w:sz w:val="24"/>
                <w:szCs w:val="24"/>
              </w:rPr>
              <w:t xml:space="preserve"> chuyển quản lý phòng phê duyệt bổ sung; yêu cầu nhân viên giải trình; nếu hợp lệ, bổ sung nhà cung cấp vào danh sách đã đăng ký.</w:t>
            </w:r>
          </w:p>
        </w:tc>
      </w:tr>
      <w:tr>
        <w:trPr>
          <w:cantSplit/>
        </w:trPr>
        <w:tc>
          <w:tcPr>
            <w:tcW w:type="dxa" w:w="2300"/>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8–9. Review và phê duyệt</w:t>
            </w:r>
          </w:p>
        </w:tc>
        <w:tc>
          <w:tcPr>
            <w:tcW w:type="dxa" w:w="6771"/>
            <w:tcBorders>
              <w:top w:val="single" w:color="8C959F" w:sz="4"/>
              <w:left w:val="single" w:color="8C959F" w:sz="4"/>
              <w:bottom w:val="single" w:color="8C959F" w:sz="4"/>
              <w:right w:val="single" w:color="8C959F" w:sz="4"/>
            </w:tcBorders>
            <w:tcMar>
              <w:top w:type="dxa" w:w="60"/>
              <w:left w:type="dxa" w:w="100"/>
              <w:bottom w:type="dxa" w:w="60"/>
              <w:right w:type="dxa" w:w="100"/>
            </w:tcMar>
          </w:tcPr>
          <w:p>
            <w:pPr>
              <w:spacing w:after="40"/>
            </w:pPr>
            <w:r>
              <w:rPr>
                <w:sz w:val="24"/>
                <w:szCs w:val="24"/>
              </w:rPr>
              <w:t xml:space="preserve">Kế toán hỏi thêm “Nhân viên này đã mua gì từ nhà cung cấp này?”, hệ thống tra cứu và trả lời; kế toán tạo yêu cầu review; quản lý quyết định</w:t>
            </w:r>
          </w:p>
        </w:tc>
      </w:tr>
    </w:tbl>
    <w:p>
      <w:pPr>
        <w:spacing w:after="120"/>
      </w:pPr>
    </w:p>
    <w:p>
      <w:pPr>
        <w:spacing w:after="120" w:line="312"/>
        <w:jc w:val="both"/>
      </w:pPr>
      <w:r>
        <w:t xml:space="preserve">Ví dụ cho thấy các vi phạm và mức rủi ro đều do rule và mô hình xác định. LLM chỉ giải thích, gắn với quy định và gợi ý việc cần làm, còn quyết định cuối cùng do con người đưa ra.</w:t>
      </w:r>
    </w:p>
    <w:p>
      <w:pPr>
        <w:spacing w:after="120"/>
      </w:pPr>
    </w:p>
    <w:p>
      <w:pPr>
        <w:spacing w:after="120" w:line="312"/>
        <w:jc w:val="both"/>
      </w:pPr>
      <w:r>
        <w:t xml:space="preserve">Em mong cô góp ý về phần phân tích trên để em triển khai các bước tiếp theo.</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c22e8b3299de227dbf503ad95e57e2829bc71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2026-09-30T03:19:50.862Z</dcterms:created>
  <dcterms:modified xsi:type="dcterms:W3CDTF">2026-09-30T03:19:50.862Z</dcterms:modified>
</cp:coreProperties>
</file>

<file path=docProps/custom.xml><?xml version="1.0" encoding="utf-8"?>
<Properties xmlns="http://schemas.openxmlformats.org/officeDocument/2006/custom-properties" xmlns:vt="http://schemas.openxmlformats.org/officeDocument/2006/docPropsVTypes"/>
</file>