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LẬP KẾ HOẠCH SPRINT 5 CHO VÍ RIKKEIPAY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Phần 1 – Phân tích</w:t>
      </w:r>
    </w:p>
    <w:p>
      <w:r>
        <w:rPr>
          <w:rFonts w:ascii="Times New Roman" w:hAnsi="Times New Roman" w:eastAsia="Times New Roman"/>
          <w:b/>
          <w:color w:val="000000"/>
        </w:rPr>
        <w:t>1. Tính Planning Capacity</w:t>
      </w:r>
    </w:p>
    <w:p>
      <w:r>
        <w:rPr>
          <w:rFonts w:ascii="Times New Roman" w:hAnsi="Times New Roman" w:eastAsia="Times New Roman"/>
          <w:color w:val="000000"/>
        </w:rPr>
        <w:t>Tú: 10 × 6 − 6 = 54 giờ.</w:t>
      </w:r>
    </w:p>
    <w:p>
      <w:r>
        <w:rPr>
          <w:rFonts w:ascii="Times New Roman" w:hAnsi="Times New Roman" w:eastAsia="Times New Roman"/>
          <w:color w:val="000000"/>
        </w:rPr>
        <w:t>Vy: 10 × 6 = 60 giờ.</w:t>
      </w:r>
    </w:p>
    <w:p>
      <w:r>
        <w:rPr>
          <w:rFonts w:ascii="Times New Roman" w:hAnsi="Times New Roman" w:eastAsia="Times New Roman"/>
          <w:color w:val="000000"/>
        </w:rPr>
        <w:t>Khoa: 9 × 6 − 4 = 50 giờ.</w:t>
      </w:r>
    </w:p>
    <w:p>
      <w:r>
        <w:rPr>
          <w:rFonts w:ascii="Times New Roman" w:hAnsi="Times New Roman" w:eastAsia="Times New Roman"/>
          <w:color w:val="000000"/>
        </w:rPr>
        <w:t>Hà: (10 − 2) × 6 = 48 giờ.</w:t>
      </w:r>
    </w:p>
    <w:p>
      <w:r>
        <w:rPr>
          <w:rFonts w:ascii="Times New Roman" w:hAnsi="Times New Roman" w:eastAsia="Times New Roman"/>
          <w:b/>
          <w:color w:val="000000"/>
        </w:rPr>
        <w:t>Tổng Planning Capacity: 54 + 60 + 50 + 48 = 212 giờ.</w:t>
      </w:r>
    </w:p>
    <w:p>
      <w:r>
        <w:rPr>
          <w:rFonts w:ascii="Times New Roman" w:hAnsi="Times New Roman" w:eastAsia="Times New Roman"/>
          <w:b/>
          <w:color w:val="000000"/>
        </w:rPr>
        <w:t>2. Khoảng Velocity dự báo</w:t>
      </w:r>
    </w:p>
    <w:p>
      <w:r>
        <w:rPr>
          <w:rFonts w:ascii="Times New Roman" w:hAnsi="Times New Roman" w:eastAsia="Times New Roman"/>
          <w:color w:val="000000"/>
        </w:rPr>
        <w:t>Velocity 4 Sprint gần nhất: 18, 20, 19, 15 SP.</w:t>
      </w:r>
    </w:p>
    <w:p>
      <w:r>
        <w:rPr>
          <w:rFonts w:ascii="Times New Roman" w:hAnsi="Times New Roman" w:eastAsia="Times New Roman"/>
          <w:color w:val="000000"/>
        </w:rPr>
        <w:t>Trung bình: (18 + 20 + 19 + 15) / 4 = 18 SP.</w:t>
      </w:r>
    </w:p>
    <w:p>
      <w:r>
        <w:rPr>
          <w:rFonts w:ascii="Times New Roman" w:hAnsi="Times New Roman" w:eastAsia="Times New Roman"/>
          <w:b/>
          <w:color w:val="000000"/>
        </w:rPr>
        <w:t>Khoảng Velocity dự báo: 15–20 SP.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Phần 2 – Thiết kế Sprint</w:t>
      </w:r>
    </w:p>
    <w:p>
      <w:r>
        <w:rPr>
          <w:rFonts w:ascii="Times New Roman" w:hAnsi="Times New Roman" w:eastAsia="Times New Roman"/>
          <w:b/>
          <w:color w:val="000000"/>
        </w:rPr>
        <w:t>1. Sprint Goal</w:t>
      </w:r>
    </w:p>
    <w:p>
      <w:r>
        <w:rPr>
          <w:rFonts w:ascii="Times New Roman" w:hAnsi="Times New Roman" w:eastAsia="Times New Roman"/>
          <w:color w:val="000000"/>
        </w:rPr>
        <w:t>Giúp khách hàng thanh toán chuyến đi bằng ví RikkeiPay ổn định và yên tâm nhận lại tiền vào ví khi chuyến đi bị hủy.</w:t>
      </w:r>
    </w:p>
    <w:p>
      <w:r>
        <w:rPr>
          <w:rFonts w:ascii="Times New Roman" w:hAnsi="Times New Roman" w:eastAsia="Times New Roman"/>
          <w:b/>
          <w:color w:val="000000"/>
        </w:rPr>
        <w:t>2. Các PBI được chọn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PBI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SP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Lý do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Thanh toán chuyến đi bằng ví RikkeiPay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8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Hoàn thiện Integration Test để thanh toán hoạt động ổn định.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Hoàn tiền vào ví khi chuyến bị hủy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5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Giúp khách hàng nhận lại tiền khi chuyến đi bị hủy.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Xem số dư và lịch sử giao dịch ví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3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Giúp khách hàng kiểm tra số dư và xác nhận giao dịch hoàn tiền.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Tổng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16 SP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Nằm trong khoảng Velocity dự báo 15–20 SP.</w:t>
            </w:r>
          </w:p>
        </w:tc>
      </w:tr>
    </w:tbl>
    <w:p>
      <w:r>
        <w:rPr>
          <w:rFonts w:ascii="Times New Roman" w:hAnsi="Times New Roman" w:eastAsia="Times New Roman"/>
          <w:b/>
          <w:color w:val="000000"/>
        </w:rPr>
        <w:t>3. Các PBI không chọn</w:t>
      </w:r>
    </w:p>
    <w:p>
      <w:r>
        <w:rPr>
          <w:rFonts w:ascii="Times New Roman" w:hAnsi="Times New Roman" w:eastAsia="Times New Roman"/>
          <w:color w:val="000000"/>
        </w:rPr>
        <w:t>• Gửi SMS khi tài xế sắp đến (3 SP): Nhà cung cấp SMS chưa ký hợp đồng nên chưa sẵn sàng triển khai.</w:t>
      </w:r>
    </w:p>
    <w:p>
      <w:r>
        <w:rPr>
          <w:rFonts w:ascii="Times New Roman" w:hAnsi="Times New Roman" w:eastAsia="Times New Roman"/>
          <w:color w:val="000000"/>
        </w:rPr>
        <w:t>• Giao diện chủ đề Tết (2 SP): Không trực tiếp phục vụ Sprint Goal về thanh toán và hoàn tiền.</w:t>
      </w:r>
    </w:p>
    <w:p>
      <w:r>
        <w:rPr>
          <w:rFonts w:ascii="Times New Roman" w:hAnsi="Times New Roman" w:eastAsia="Times New Roman"/>
          <w:color w:val="000000"/>
        </w:rPr>
        <w:t>• Chat với tài xế (5 SP): Không trực tiếp giải quyết vấn đề thanh toán và hoàn tiền của khách hàng.</w:t>
      </w:r>
    </w:p>
    <w:p>
      <w:r>
        <w:rPr>
          <w:rFonts w:ascii="Times New Roman" w:hAnsi="Times New Roman" w:eastAsia="Times New Roman"/>
          <w:color w:val="000000"/>
        </w:rPr>
        <w:t>Không chọn thêm PBI chỉ để tận dụng số SP còn trống, vì cần ưu tiên hoàn thành Sprint Goal.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Phần 3 – Phân rã PBI hoàn tiền vào ví khi chuyến bị hủy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Task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Công việc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Đầu ra kiểm chứng được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Xây dựng xử lý hoàn tiền khi chuyến bị hủy.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Tiền được hoàn vào đúng ví và số dư được cập nhật chính xác.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2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Xử lý và kiểm tra các trường hợp hoàn tiền trùng lặp.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Kiểm thử xác nhận một chuyến bị hủy chỉ được hoàn tiền một lần.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3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Viết Integration Test cho chức năng hoàn tiền.</w:t>
            </w:r>
          </w:p>
        </w:tc>
        <w:tc>
          <w:tcPr>
            <w:tcW w:type="dxa" w:w="3312"/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Bộ kiểm thử xác nhận việc hủy chuyến, hoàn tiền và cập nhật lịch sử giao dịch hoạt động đúng.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