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2"/>
        </w:rPr>
        <w:t>BÀI TẬP 2</w:t>
        <w:br/>
        <w:t>PHÂN TÍCH YÊU CẦU HỆ THỐNG - QUẢN LÝ KHO DƯỢC</w:t>
      </w:r>
    </w:p>
    <w:p/>
    <w:p>
      <w:pPr>
        <w:spacing w:before="240" w:after="80"/>
      </w:pPr>
      <w:r>
        <w:rPr>
          <w:b/>
          <w:color w:val="1B365D"/>
          <w:sz w:val="24"/>
        </w:rPr>
        <w:t>PHẦN 1: BÓC TÁCH LỖI SAI NGHIỆP VỤ (SỬA LỖI)</w:t>
      </w:r>
    </w:p>
    <w:p>
      <w:r>
        <w:rPr>
          <w:b/>
        </w:rPr>
        <w:t>1. Lỗi Môi trường hệ thống</w:t>
        <w:br/>
      </w:r>
      <w:r>
        <w:rPr>
          <w:b/>
        </w:rPr>
        <w:t xml:space="preserve">• Nguyên nhân sai: </w:t>
      </w:r>
      <w:r>
        <w:t>Thông tư của Bộ Y tế là yếu tố pháp lý vĩ mô nằm ngoài tầm kiểm soát trực tiếp của bệnh viện, do đó phải được xếp vào Môi trường Bên ngoài.</w:t>
        <w:br/>
      </w:r>
      <w:r>
        <w:rPr>
          <w:b/>
        </w:rPr>
        <w:t xml:space="preserve">• Hậu quả: </w:t>
      </w:r>
      <w:r>
        <w:t>Nếu xem đây là môi trường nội bộ, hệ thống có thể được thiết kế theo hướng tùy tiện thay đổi quy trình bất chấp luật định, dẫn đến vi phạm pháp lý và rủi ro bị tước giấy phép kinh doanh.</w:t>
      </w:r>
    </w:p>
    <w:p>
      <w:r>
        <w:rPr>
          <w:b/>
        </w:rPr>
        <w:t>2. Lỗi Khảo sát quy trình AS-IS</w:t>
        <w:br/>
      </w:r>
      <w:r>
        <w:rPr>
          <w:b/>
        </w:rPr>
        <w:t xml:space="preserve">• Nguyên nhân sai: </w:t>
      </w:r>
      <w:r>
        <w:t>Lời ghi nhận quá cảm tính, chủ quan và hoàn toàn phớt lờ rủi ro sai sót tự nhiên của con người (human error), đặc biệt khi thực tế đã có bằng chứng bệnh nhân khiếu nại về thuốc quá hạn.</w:t>
        <w:br/>
      </w:r>
      <w:r>
        <w:rPr>
          <w:b/>
        </w:rPr>
        <w:t xml:space="preserve">• Hậu quả: </w:t>
      </w:r>
      <w:r>
        <w:t>Đội ngũ thiết kế sẽ bỏ qua việc phát triển tính năng cảnh báo hạn sử dụng (vì lôgic cho rằng 'không bao giờ sai'), từ đó đe dọa trực tiếp đến tính mạng bệnh nhân và uy tín của RikkeiCare.</w:t>
      </w:r>
    </w:p>
    <w:p>
      <w:r>
        <w:rPr>
          <w:b/>
        </w:rPr>
        <w:t>3. Lỗi Phân loại yêu cầu</w:t>
        <w:br/>
      </w:r>
      <w:r>
        <w:rPr>
          <w:b/>
        </w:rPr>
        <w:t xml:space="preserve">• Nguyên nhân sai: </w:t>
      </w:r>
      <w:r>
        <w:t>Hành động 'tự động khóa' là một nghiệp vụ xử lý dữ liệu cốt lõi mà phần mềm bắt buộc phải thực hiện, do đó nó phải là Yêu cầu Chức năng (FR) chứ không phải là đặc tính chất lượng/hiệu suất.</w:t>
        <w:br/>
      </w:r>
      <w:r>
        <w:rPr>
          <w:b/>
        </w:rPr>
        <w:t xml:space="preserve">• Hậu quả: </w:t>
      </w:r>
      <w:r>
        <w:t>Nếu bị phân loại nhầm thành NFR, lập trình viên có thể coi đây là một tiêu chuẩn phụ hoặc tối ưu hóa sau, dẫn đến việc bỏ sót logic khóa thuốc và gây ra lỗ hổng nghiêm trọng trong khâu kiểm soát tồn kho.</w:t>
      </w:r>
    </w:p>
    <w:p>
      <w:pPr>
        <w:spacing w:before="240" w:after="80"/>
      </w:pPr>
      <w:r>
        <w:rPr>
          <w:b/>
          <w:color w:val="1B365D"/>
          <w:sz w:val="24"/>
        </w:rPr>
        <w:t>PHẦN 2: ĐIỀN KHUYẾT BẢNG PHÂN LOẠI MÔI TRƯỜNG &amp; YÊU CẦU</w:t>
      </w:r>
    </w:p>
    <w:tbl>
      <w:tblPr>
        <w:tblStyle w:val="TableGrid"/>
        <w:tblW w:type="auto" w:w="0"/>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3010"/>
        <w:gridCol w:w="3010"/>
        <w:gridCol w:w="3010"/>
      </w:tblGrid>
      <w:tr>
        <w:tc>
          <w:tcPr>
            <w:tcW w:type="dxa" w:w="3010"/>
            <w:shd w:fill="1B365D"/>
          </w:tcPr>
          <w:p>
            <w:r>
              <w:rPr>
                <w:b/>
                <w:color w:val="FFFFFF"/>
              </w:rPr>
              <w:t>Yếu tố khảo sát tại Kho Dược</w:t>
            </w:r>
          </w:p>
        </w:tc>
        <w:tc>
          <w:tcPr>
            <w:tcW w:type="dxa" w:w="3010"/>
            <w:shd w:fill="1B365D"/>
          </w:tcPr>
          <w:p>
            <w:r>
              <w:rPr>
                <w:b/>
                <w:color w:val="FFFFFF"/>
              </w:rPr>
              <w:t>Thuộc loại Môi trường</w:t>
            </w:r>
          </w:p>
        </w:tc>
        <w:tc>
          <w:tcPr>
            <w:tcW w:type="dxa" w:w="3010"/>
            <w:shd w:fill="1B365D"/>
          </w:tcPr>
          <w:p>
            <w:r>
              <w:rPr>
                <w:b/>
                <w:color w:val="FFFFFF"/>
              </w:rPr>
              <w:t>Tác động trực tiếp đến phần mềm</w:t>
            </w:r>
          </w:p>
        </w:tc>
      </w:tr>
      <w:tr>
        <w:tc>
          <w:tcPr>
            <w:tcW w:type="dxa" w:w="3010"/>
          </w:tcPr>
          <w:p>
            <w:r>
              <w:t>Kỹ năng vi tính &amp; thói quen ghi sổ của Dược sĩ</w:t>
            </w:r>
          </w:p>
        </w:tc>
        <w:tc>
          <w:tcPr>
            <w:tcW w:type="dxa" w:w="3010"/>
          </w:tcPr>
          <w:p>
            <w:r>
              <w:t>Môi trường Nội bộ</w:t>
            </w:r>
          </w:p>
        </w:tc>
        <w:tc>
          <w:tcPr>
            <w:tcW w:type="dxa" w:w="3010"/>
          </w:tcPr>
          <w:p>
            <w:r>
              <w:t>Cần giao diện tối giản, hỗ trợ quét mã vạch</w:t>
            </w:r>
          </w:p>
        </w:tc>
      </w:tr>
      <w:tr>
        <w:tc>
          <w:tcPr>
            <w:tcW w:type="dxa" w:w="3010"/>
          </w:tcPr>
          <w:p>
            <w:r>
              <w:t>Thông tư &amp; Chế tài xử phạt của Bộ Y tế</w:t>
            </w:r>
          </w:p>
        </w:tc>
        <w:tc>
          <w:tcPr>
            <w:tcW w:type="dxa" w:w="3010"/>
          </w:tcPr>
          <w:p>
            <w:r>
              <w:t>Môi trường Bên ngoài</w:t>
            </w:r>
          </w:p>
        </w:tc>
        <w:tc>
          <w:tcPr>
            <w:tcW w:type="dxa" w:w="3010"/>
          </w:tcPr>
          <w:p>
            <w:r>
              <w:t>Bắt buộc khóa tự động thuốc hết hạn, lưu audit log</w:t>
            </w:r>
          </w:p>
        </w:tc>
      </w:tr>
      <w:tr>
        <w:tc>
          <w:tcPr>
            <w:tcW w:type="dxa" w:w="3010"/>
            <w:shd w:fill="F7FAFC"/>
          </w:tcPr>
          <w:p>
            <w:r>
              <w:rPr>
                <w:b/>
                <w:color w:val="2B6CB0"/>
              </w:rPr>
              <w:t>Hạ tầng máy chủ và mạng LAN nội bộ bệnh viện</w:t>
            </w:r>
          </w:p>
        </w:tc>
        <w:tc>
          <w:tcPr>
            <w:tcW w:type="dxa" w:w="3010"/>
            <w:shd w:fill="F7FAFC"/>
          </w:tcPr>
          <w:p>
            <w:r>
              <w:rPr>
                <w:b/>
                <w:color w:val="2B6CB0"/>
              </w:rPr>
              <w:t>Môi trường Nội bộ</w:t>
            </w:r>
          </w:p>
        </w:tc>
        <w:tc>
          <w:tcPr>
            <w:tcW w:type="dxa" w:w="3010"/>
            <w:shd w:fill="F7FAFC"/>
          </w:tcPr>
          <w:p>
            <w:r>
              <w:rPr>
                <w:b/>
                <w:color w:val="2B6CB0"/>
              </w:rPr>
              <w:t>Hệ thống phải thiết kế luồng xử lý ổn định trên mạng LAN, đồng thời hạ tầng phải đủ bảo mật để thực thi trơn tru cơ chế xác nhận kép (Dual-Authorization) nội bộ khi xuất kho nhóm thuốc gây nghiện (RESTRICTED).</w:t>
            </w:r>
          </w:p>
        </w:tc>
      </w:tr>
    </w:tbl>
    <w:p/>
    <w:p>
      <w:pPr>
        <w:spacing w:before="240" w:after="80"/>
      </w:pPr>
      <w:r>
        <w:rPr>
          <w:b/>
          <w:color w:val="1B365D"/>
          <w:sz w:val="24"/>
        </w:rPr>
        <w:t>PHẦN 3: VIẾT YÊU CẦU CHỨC NĂNG (FR) VÀ PHI CHỨC NĂNG (NFR)</w:t>
      </w:r>
    </w:p>
    <w:p>
      <w:r>
        <w:rPr>
          <w:b/>
        </w:rPr>
        <w:t>Yêu cầu Chức năng (FR):</w:t>
        <w:br/>
      </w:r>
      <w:r>
        <w:t>Hệ thống phải yêu cầu xác nhận kép (Dual-Authorization) thông qua mã PIN hoặc vân tay của Dược sĩ Trưởng khoa ngay khi nhân viên thực hiện thao tác xuất kho đối với bất kỳ loại thuốc nào được gắn nhãn kiểm soát đặc biệt (RESTRICTED).</w:t>
      </w:r>
    </w:p>
    <w:p>
      <w:r>
        <w:rPr>
          <w:b/>
        </w:rPr>
        <w:t>Yêu cầu Phi chức năng (NFR):</w:t>
        <w:br/>
      </w:r>
      <w:r>
        <w:t>Thời gian phản hồi của hệ thống khi nhân viên quét mã vạch xuất kho hoặc truy xuất dữ liệu thuốc không được vượt quá 1.5 giây trong điều kiện kết nối mạng LAN nội bộ tiêu chuẩn, nhằm đảm bảo tốc độ phục vụ bệnh nhân trong giờ cao điểm.</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