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BÁO CÁO PHÂN TÍCH TƯƠNG THÍCH DẠNG BÀI TOÁN 5</w:t>
      </w:r>
    </w:p>
    <w:p>
      <w:r>
        <w:t>Dựa trên kết quả rà soát SGK Toán 5 Tập 1 (143 trang) và Tập 2 (139 trang), dưới đây là báo cáo đánh giá sự tương thích của hệ thống EduRobot5 hiện tại với các dạng bài tập thực tế, cùng định hướng kế hoạch bổ sung hệ thống cơ sở.</w:t>
      </w:r>
    </w:p>
    <w:p>
      <w:pPr>
        <w:pStyle w:val="Heading1"/>
      </w:pPr>
      <w:r>
        <w:t>1. Phân loại 8 dạng bài SGK Toán 5 vs Hệ thống EduRobot5 hiện tại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Dạng bài Toán 5</w:t>
            </w:r>
          </w:p>
        </w:tc>
        <w:tc>
          <w:tcPr>
            <w:tcW w:type="dxa" w:w="2160"/>
          </w:tcPr>
          <w:p>
            <w:r>
              <w:t>Mức độ phổ biến</w:t>
            </w:r>
          </w:p>
        </w:tc>
        <w:tc>
          <w:tcPr>
            <w:tcW w:type="dxa" w:w="2160"/>
          </w:tcPr>
          <w:p>
            <w:r>
              <w:t>Công cụ EduRobot đã có</w:t>
            </w:r>
          </w:p>
        </w:tc>
        <w:tc>
          <w:tcPr>
            <w:tcW w:type="dxa" w:w="2160"/>
          </w:tcPr>
          <w:p>
            <w:r>
              <w:t>Đánh giá</w:t>
            </w:r>
          </w:p>
        </w:tc>
      </w:tr>
      <w:tr>
        <w:tc>
          <w:tcPr>
            <w:tcW w:type="dxa" w:w="2160"/>
          </w:tcPr>
          <w:p>
            <w:r>
              <w:t>1. Tính nhẩm / Ghi kết quả</w:t>
            </w:r>
          </w:p>
        </w:tc>
        <w:tc>
          <w:tcPr>
            <w:tcW w:type="dxa" w:w="2160"/>
          </w:tcPr>
          <w:p>
            <w:r>
              <w:t>Rất cao</w:t>
            </w:r>
          </w:p>
        </w:tc>
        <w:tc>
          <w:tcPr>
            <w:tcW w:type="dxa" w:w="2160"/>
          </w:tcPr>
          <w:p>
            <w:r>
              <w:t>MathExercise (Điền số + Nhận diện giọng nói), Quiz.js</w:t>
            </w:r>
          </w:p>
        </w:tc>
        <w:tc>
          <w:tcPr>
            <w:tcW w:type="dxa" w:w="2160"/>
          </w:tcPr>
          <w:p>
            <w:r>
              <w:t>[x] Đã đáp ứng cực tốt</w:t>
            </w:r>
          </w:p>
        </w:tc>
      </w:tr>
      <w:tr>
        <w:tc>
          <w:tcPr>
            <w:tcW w:type="dxa" w:w="2160"/>
          </w:tcPr>
          <w:p>
            <w:r>
              <w:t>2. Đổi đơn vị đo (Độ dài, v.v.)</w:t>
            </w:r>
          </w:p>
        </w:tc>
        <w:tc>
          <w:tcPr>
            <w:tcW w:type="dxa" w:w="2160"/>
          </w:tcPr>
          <w:p>
            <w:r>
              <w:t>Rất cao</w:t>
            </w:r>
          </w:p>
        </w:tc>
        <w:tc>
          <w:tcPr>
            <w:tcW w:type="dxa" w:w="2160"/>
          </w:tcPr>
          <w:p>
            <w:r>
              <w:t>UnitConversion</w:t>
            </w:r>
          </w:p>
        </w:tc>
        <w:tc>
          <w:tcPr>
            <w:tcW w:type="dxa" w:w="2160"/>
          </w:tcPr>
          <w:p>
            <w:r>
              <w:t>[x] Đã đáp ứng cực tốt</w:t>
            </w:r>
          </w:p>
        </w:tc>
      </w:tr>
      <w:tr>
        <w:tc>
          <w:tcPr>
            <w:tcW w:type="dxa" w:w="2160"/>
          </w:tcPr>
          <w:p>
            <w:r>
              <w:t>3. Điền dấu (&gt;, &lt;, =)</w:t>
            </w:r>
          </w:p>
        </w:tc>
        <w:tc>
          <w:tcPr>
            <w:tcW w:type="dxa" w:w="2160"/>
          </w:tcPr>
          <w:p>
            <w:r>
              <w:t>Cao</w:t>
            </w:r>
          </w:p>
        </w:tc>
        <w:tc>
          <w:tcPr>
            <w:tcW w:type="dxa" w:w="2160"/>
          </w:tcPr>
          <w:p>
            <w:r>
              <w:t>DragDrop (Kéo thả dấu), Quiz</w:t>
            </w:r>
          </w:p>
        </w:tc>
        <w:tc>
          <w:tcPr>
            <w:tcW w:type="dxa" w:w="2160"/>
          </w:tcPr>
          <w:p>
            <w:r>
              <w:t>[x] Đã đáp ứng xuất sắc</w:t>
            </w:r>
          </w:p>
        </w:tc>
      </w:tr>
      <w:tr>
        <w:tc>
          <w:tcPr>
            <w:tcW w:type="dxa" w:w="2160"/>
          </w:tcPr>
          <w:p>
            <w:r>
              <w:t>4. Nhận diện / Nối khái niệm</w:t>
            </w:r>
          </w:p>
        </w:tc>
        <w:tc>
          <w:tcPr>
            <w:tcW w:type="dxa" w:w="2160"/>
          </w:tcPr>
          <w:p>
            <w:r>
              <w:t>Vừa</w:t>
            </w:r>
          </w:p>
        </w:tc>
        <w:tc>
          <w:tcPr>
            <w:tcW w:type="dxa" w:w="2160"/>
          </w:tcPr>
          <w:p>
            <w:r>
              <w:t>Matching (Game ghép nối đường thẳng)</w:t>
            </w:r>
          </w:p>
        </w:tc>
        <w:tc>
          <w:tcPr>
            <w:tcW w:type="dxa" w:w="2160"/>
          </w:tcPr>
          <w:p>
            <w:r>
              <w:t>[x] Đã đáp ứng xuất sắc</w:t>
            </w:r>
          </w:p>
        </w:tc>
      </w:tr>
      <w:tr>
        <w:tc>
          <w:tcPr>
            <w:tcW w:type="dxa" w:w="2160"/>
          </w:tcPr>
          <w:p>
            <w:r>
              <w:t>5. Nhận diện hình học trực quan</w:t>
            </w:r>
          </w:p>
        </w:tc>
        <w:tc>
          <w:tcPr>
            <w:tcW w:type="dxa" w:w="2160"/>
          </w:tcPr>
          <w:p>
            <w:r>
              <w:t>Vừa</w:t>
            </w:r>
          </w:p>
        </w:tc>
        <w:tc>
          <w:tcPr>
            <w:tcW w:type="dxa" w:w="2160"/>
          </w:tcPr>
          <w:p>
            <w:r>
              <w:t>GeometryLab, RealWorldCamera</w:t>
            </w:r>
          </w:p>
        </w:tc>
        <w:tc>
          <w:tcPr>
            <w:tcW w:type="dxa" w:w="2160"/>
          </w:tcPr>
          <w:p>
            <w:r>
              <w:t>[x] Tiên tiến, vượt xa mong đợi</w:t>
            </w:r>
          </w:p>
        </w:tc>
      </w:tr>
      <w:tr>
        <w:tc>
          <w:tcPr>
            <w:tcW w:type="dxa" w:w="2160"/>
          </w:tcPr>
          <w:p>
            <w:r>
              <w:t>6. Đặt tính rồi tính (Cộng/Trừ/Nhân/Chia số thập phân)</w:t>
            </w:r>
          </w:p>
        </w:tc>
        <w:tc>
          <w:tcPr>
            <w:tcW w:type="dxa" w:w="2160"/>
          </w:tcPr>
          <w:p>
            <w:r>
              <w:t>Cao</w:t>
            </w:r>
          </w:p>
        </w:tc>
        <w:tc>
          <w:tcPr>
            <w:tcW w:type="dxa" w:w="2160"/>
          </w:tcPr>
          <w:p>
            <w:r>
              <w:t>Chưa có công cụ kẻ ô thẳng cột</w:t>
            </w:r>
          </w:p>
        </w:tc>
        <w:tc>
          <w:tcPr>
            <w:tcW w:type="dxa" w:w="2160"/>
          </w:tcPr>
          <w:p>
            <w:r>
              <w:t>[!] Cần bổ sung gấp (Mới chỉ có điền dòng ngang)</w:t>
            </w:r>
          </w:p>
        </w:tc>
      </w:tr>
      <w:tr>
        <w:tc>
          <w:tcPr>
            <w:tcW w:type="dxa" w:w="2160"/>
          </w:tcPr>
          <w:p>
            <w:r>
              <w:t>7. Cấu trúc Giải toán có lời văn (Tỉ số %, Chuyển động)</w:t>
            </w:r>
          </w:p>
        </w:tc>
        <w:tc>
          <w:tcPr>
            <w:tcW w:type="dxa" w:w="2160"/>
          </w:tcPr>
          <w:p>
            <w:r>
              <w:t>Rất cao</w:t>
            </w:r>
          </w:p>
        </w:tc>
        <w:tc>
          <w:tcPr>
            <w:tcW w:type="dxa" w:w="2160"/>
          </w:tcPr>
          <w:p>
            <w:r>
              <w:t>Chưa có form viết lời giải/đáp số quy chuẩn</w:t>
            </w:r>
          </w:p>
        </w:tc>
        <w:tc>
          <w:tcPr>
            <w:tcW w:type="dxa" w:w="2160"/>
          </w:tcPr>
          <w:p>
            <w:r>
              <w:t>[!] Cần bổ sung gấp (HS đang phải viết giấy tải ảnh/nộp AI)</w:t>
            </w:r>
          </w:p>
        </w:tc>
      </w:tr>
      <w:tr>
        <w:tc>
          <w:tcPr>
            <w:tcW w:type="dxa" w:w="2160"/>
          </w:tcPr>
          <w:p>
            <w:r>
              <w:t>8. Phân số / Hỗn số / Biểu đồ quạt</w:t>
            </w:r>
          </w:p>
        </w:tc>
        <w:tc>
          <w:tcPr>
            <w:tcW w:type="dxa" w:w="2160"/>
          </w:tcPr>
          <w:p>
            <w:r>
              <w:t>Vừa</w:t>
            </w:r>
          </w:p>
        </w:tc>
        <w:tc>
          <w:tcPr>
            <w:tcW w:type="dxa" w:w="2160"/>
          </w:tcPr>
          <w:p>
            <w:r>
              <w:t>Box nhập text cơ bản khó gõ tử số/mẫu số</w:t>
            </w:r>
          </w:p>
        </w:tc>
        <w:tc>
          <w:tcPr>
            <w:tcW w:type="dxa" w:w="2160"/>
          </w:tcPr>
          <w:p>
            <w:r>
              <w:t>[!] Cần bàn phím toán học &amp; tool vẽ màu</w:t>
            </w:r>
          </w:p>
        </w:tc>
      </w:tr>
    </w:tbl>
    <w:p/>
    <w:p>
      <w:pPr>
        <w:pStyle w:val="Heading1"/>
      </w:pPr>
      <w:r>
        <w:t>2. Định hướng Kế hoạch Cập nhật (Roadmap Phase 2)</w:t>
      </w:r>
    </w:p>
    <w:p>
      <w:r>
        <w:t>Hệ thống cơ sở hiện thiết kế đã lo liệu được khoảng 70% các dạng bài tập, đặc biệt mảng Trắc nghiệm và Tương tác hình ảnh đã làm cực kỳ tốt. Để EduRobot 5 "cân" trọn bộ 100% các tiết học Toán 5, đề xuất Kế hoạch Bổ sung 3 Module Tương Tác Cốt Lõi như sau:</w:t>
      </w:r>
    </w:p>
    <w:p>
      <w:pPr>
        <w:pStyle w:val="Heading2"/>
      </w:pPr>
      <w:r>
        <w:t>ƯU TIÊN 1: Hoàn thiện Ngữ pháp Toán học cốt lõi (Mất 1-2 ngày)</w:t>
      </w:r>
    </w:p>
    <w:p>
      <w:pPr>
        <w:pStyle w:val="ListBullet"/>
      </w:pPr>
      <w:r>
        <w:rPr>
          <w:b/>
        </w:rPr>
        <w:t xml:space="preserve">Module renderVerticalCalculation (Đặt tính rồi tính): </w:t>
      </w:r>
      <w:r>
        <w:t>Sinh ra giao diện ô ly giống vở học sinh. Cho phép đặt số thẳng hàng dọc, đặc biệt đặt dấu phẩy số thập phân đúng chỗ. Có thể kết hợp Click-to-fill (Ấn vào từng viền ô để nhập từng chữ số đáp án).</w:t>
      </w:r>
    </w:p>
    <w:p>
      <w:pPr>
        <w:pStyle w:val="ListBullet"/>
      </w:pPr>
      <w:r>
        <w:rPr>
          <w:b/>
        </w:rPr>
        <w:t xml:space="preserve">Module renderFractionBuilder (Bàn phím Phân số): </w:t>
      </w:r>
      <w:r>
        <w:t>Không bắt học sinh gõ 3/5 bằng bàn phím chữ. Sẽ tạo ra một Box phân số nổi có kẻ ngang, cho phép click vào "Tử số" và "Mẫu số" để nhập độc lập.</w:t>
      </w:r>
    </w:p>
    <w:p>
      <w:pPr>
        <w:pStyle w:val="Heading2"/>
      </w:pPr>
      <w:r>
        <w:t>ƯU TIÊN 2: Máy chấm tự luận / Giải toán (Mất 1-2 ngày)</w:t>
      </w:r>
    </w:p>
    <w:p>
      <w:pPr>
        <w:pStyle w:val="ListBullet"/>
      </w:pPr>
      <w:r>
        <w:rPr>
          <w:b/>
        </w:rPr>
        <w:t xml:space="preserve">Module renderTextbookProblemSolving (Giải bài toán có lời văn): </w:t>
      </w:r>
      <w:r>
        <w:t>Giao diện cung cấp cho học sinh 3 "Step" (Bước) rõ ràng giống bảng phấn: Nhập Lời giải -&gt; Nhập Phép tính -&gt; Nhập Đáp số. Sau đó gửi toàn bộ vào hàm Check AI để chấm câu, logic mà không dùng đáp án chết.</w:t>
      </w:r>
    </w:p>
    <w:p>
      <w:pPr>
        <w:pStyle w:val="Heading2"/>
      </w:pPr>
      <w:r>
        <w:t>ƯU TIÊN 3: Hình ảnh tương tác sâu (Mất 1 ngày)</w:t>
      </w:r>
    </w:p>
    <w:p>
      <w:pPr>
        <w:pStyle w:val="ListBullet"/>
      </w:pPr>
      <w:r>
        <w:rPr>
          <w:b/>
        </w:rPr>
        <w:t xml:space="preserve">Module renderInteractiveChart (Tương tác Biểu đồ): </w:t>
      </w:r>
      <w:r>
        <w:t>Vẽ sẵn biểu đồ cột hoặc hình quạt, học sinh Click chuột để "Tô màu" các múi quạt cho tương ứng với số % (Phục vụ phần Thống kê kỳ 2).</w:t>
      </w:r>
    </w:p>
    <w:p>
      <w:pPr>
        <w:pStyle w:val="ListBullet"/>
      </w:pPr>
      <w:r>
        <w:rPr>
          <w:b/>
        </w:rPr>
        <w:t xml:space="preserve">Mini-Canvas (Bảng con): </w:t>
      </w:r>
      <w:r>
        <w:t>Để học sinh quẹt chuột tạo nét nối / tập vẽ nhanh thay vì kéo thả.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