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606" w:type="dxa"/>
        <w:jc w:val="left"/>
        <w:tblInd w:w="-250" w:type="dxa"/>
        <w:tblLayout w:type="fixed"/>
        <w:tblCellMar>
          <w:top w:w="0" w:type="dxa"/>
          <w:left w:w="0" w:type="dxa"/>
          <w:bottom w:w="0" w:type="dxa"/>
          <w:right w:w="0" w:type="dxa"/>
        </w:tblCellMar>
      </w:tblPr>
      <w:tblGrid>
        <w:gridCol w:w="4645"/>
        <w:gridCol w:w="4960"/>
      </w:tblGrid>
      <w:tr>
        <w:trPr>
          <w:trHeight w:val="1078" w:hRule="atLeast"/>
        </w:trPr>
        <w:tc>
          <w:tcPr>
            <w:tcW w:w="4645" w:type="dxa"/>
            <w:tcBorders/>
          </w:tcPr>
          <w:p>
            <w:pPr>
              <w:pStyle w:val="Normal"/>
              <w:widowControl w:val="false"/>
              <w:jc w:val="center"/>
              <w:rPr>
                <w:w w:val="90"/>
                <w:sz w:val="26"/>
                <w:szCs w:val="26"/>
              </w:rPr>
            </w:pPr>
            <w:r>
              <w:rPr>
                <w:w w:val="90"/>
                <w:sz w:val="26"/>
                <w:szCs w:val="26"/>
              </w:rPr>
              <w:t xml:space="preserve">SỞ NÔNG NGHIỆP VÀ PTNT TỈNH BẾN TRE </w:t>
            </w:r>
          </w:p>
          <w:p>
            <w:pPr>
              <w:pStyle w:val="Normal"/>
              <w:widowControl w:val="false"/>
              <w:jc w:val="center"/>
              <w:rPr>
                <w:b/>
                <w:b/>
                <w:sz w:val="26"/>
                <w:szCs w:val="26"/>
              </w:rPr>
            </w:pPr>
            <w:r>
              <mc:AlternateContent>
                <mc:Choice Requires="wps">
                  <w:drawing>
                    <wp:anchor behindDoc="0" distT="5080" distB="5080" distL="0" distR="0" simplePos="0" locked="0" layoutInCell="0" allowOverlap="1" relativeHeight="2">
                      <wp:simplePos x="0" y="0"/>
                      <wp:positionH relativeFrom="column">
                        <wp:posOffset>960120</wp:posOffset>
                      </wp:positionH>
                      <wp:positionV relativeFrom="paragraph">
                        <wp:posOffset>386080</wp:posOffset>
                      </wp:positionV>
                      <wp:extent cx="908050" cy="0"/>
                      <wp:effectExtent l="0" t="5080" r="0" b="5080"/>
                      <wp:wrapNone/>
                      <wp:docPr id="1" name="Straight Connector 1"/>
                      <a:graphic xmlns:a="http://schemas.openxmlformats.org/drawingml/2006/main">
                        <a:graphicData uri="http://schemas.microsoft.com/office/word/2010/wordprocessingShape">
                          <wps:wsp>
                            <wps:cNvSpPr/>
                            <wps:spPr>
                              <a:xfrm>
                                <a:off x="0" y="0"/>
                                <a:ext cx="90792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75.6pt,30.4pt" to="147.05pt,30.4pt" ID="Straight Connector 1" stroked="t" o:allowincell="f" style="position:absolute">
                      <v:stroke color="black" weight="9360" joinstyle="miter" endcap="flat"/>
                      <v:fill o:detectmouseclick="t" on="false"/>
                      <w10:wrap type="none"/>
                    </v:line>
                  </w:pict>
                </mc:Fallback>
              </mc:AlternateContent>
            </w:r>
            <w:r>
              <w:rPr>
                <w:b/>
                <w:sz w:val="26"/>
                <w:szCs w:val="26"/>
              </w:rPr>
              <w:t>CHI CỤC QUẢN LÝ CHẤT LƯỢNG NÔNG LÂM SẢN VÀ THỦY SẢN</w:t>
            </w:r>
          </w:p>
        </w:tc>
        <w:tc>
          <w:tcPr>
            <w:tcW w:w="4960" w:type="dxa"/>
            <w:tcBorders/>
          </w:tcPr>
          <w:p>
            <w:pPr>
              <w:pStyle w:val="Normal"/>
              <w:widowControl w:val="false"/>
              <w:jc w:val="center"/>
              <w:rPr>
                <w:b/>
                <w:b/>
                <w:spacing w:val="-10"/>
                <w:w w:val="90"/>
                <w:sz w:val="26"/>
                <w:szCs w:val="26"/>
              </w:rPr>
            </w:pPr>
            <w:r>
              <w:rPr>
                <w:b/>
                <w:spacing w:val="-10"/>
                <w:w w:val="90"/>
                <w:sz w:val="26"/>
                <w:szCs w:val="26"/>
              </w:rPr>
              <w:t>CỘNG HÒA XÃ HỘI CHỦ NGHĨA VIỆT NAM</w:t>
            </w:r>
          </w:p>
          <w:p>
            <w:pPr>
              <w:pStyle w:val="Normal"/>
              <w:widowControl w:val="false"/>
              <w:jc w:val="center"/>
              <w:rPr>
                <w:b/>
                <w:b/>
                <w:sz w:val="26"/>
                <w:szCs w:val="26"/>
              </w:rPr>
            </w:pPr>
            <w:r>
              <w:rPr>
                <w:b/>
                <w:sz w:val="26"/>
                <w:szCs w:val="26"/>
              </w:rPr>
              <w:t>Độc lập – Tự do – Hạnh phúc</w:t>
            </w:r>
          </w:p>
          <w:p>
            <w:pPr>
              <w:pStyle w:val="Normal"/>
              <w:widowControl w:val="false"/>
              <w:jc w:val="center"/>
              <w:rPr>
                <w:b/>
                <w:b/>
                <w:sz w:val="26"/>
                <w:szCs w:val="26"/>
                <w:lang w:val="en-US" w:eastAsia="en-US"/>
              </w:rPr>
            </w:pPr>
            <w:r>
              <w:rPr>
                <w:b/>
                <w:sz w:val="26"/>
                <w:szCs w:val="26"/>
                <w:lang w:val="en-US" w:eastAsia="en-US"/>
              </w:rPr>
              <mc:AlternateContent>
                <mc:Choice Requires="wps">
                  <w:drawing>
                    <wp:anchor behindDoc="0" distT="5080" distB="5080" distL="0" distR="0" simplePos="0" locked="0" layoutInCell="0" allowOverlap="1" relativeHeight="3">
                      <wp:simplePos x="0" y="0"/>
                      <wp:positionH relativeFrom="column">
                        <wp:posOffset>589915</wp:posOffset>
                      </wp:positionH>
                      <wp:positionV relativeFrom="paragraph">
                        <wp:posOffset>15240</wp:posOffset>
                      </wp:positionV>
                      <wp:extent cx="2045335" cy="0"/>
                      <wp:effectExtent l="0" t="5080" r="0" b="5080"/>
                      <wp:wrapNone/>
                      <wp:docPr id="2" name="Straight Connector 2"/>
                      <a:graphic xmlns:a="http://schemas.openxmlformats.org/drawingml/2006/main">
                        <a:graphicData uri="http://schemas.microsoft.com/office/word/2010/wordprocessingShape">
                          <wps:wsp>
                            <wps:cNvSpPr/>
                            <wps:spPr>
                              <a:xfrm>
                                <a:off x="0" y="0"/>
                                <a:ext cx="2045160" cy="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46.45pt,1.2pt" to="207.45pt,1.2pt" ID="Straight Connector 2" stroked="t" o:allowincell="f" style="position:absolute">
                      <v:stroke color="black" weight="9360" joinstyle="miter" endcap="flat"/>
                      <v:fill o:detectmouseclick="t" on="false"/>
                      <w10:wrap type="none"/>
                    </v:line>
                  </w:pict>
                </mc:Fallback>
              </mc:AlternateContent>
            </w:r>
          </w:p>
        </w:tc>
      </w:tr>
      <w:tr>
        <w:trPr/>
        <w:tc>
          <w:tcPr>
            <w:tcW w:w="4645" w:type="dxa"/>
            <w:tcBorders/>
            <w:tcMar>
              <w:left w:w="108" w:type="dxa"/>
              <w:right w:w="108" w:type="dxa"/>
            </w:tcMar>
          </w:tcPr>
          <w:p>
            <w:pPr>
              <w:pStyle w:val="Normal"/>
              <w:widowControl w:val="false"/>
              <w:jc w:val="center"/>
              <w:rPr/>
            </w:pPr>
            <w:r>
              <w:rPr>
                <w:sz w:val="26"/>
                <w:szCs w:val="26"/>
              </w:rPr>
              <w:t>Số:              /TB-QLCL</w:t>
            </w:r>
          </w:p>
        </w:tc>
        <w:tc>
          <w:tcPr>
            <w:tcW w:w="4960" w:type="dxa"/>
            <w:tcBorders/>
            <w:tcMar>
              <w:left w:w="108" w:type="dxa"/>
              <w:right w:w="108" w:type="dxa"/>
            </w:tcMar>
          </w:tcPr>
          <w:p>
            <w:pPr>
              <w:pStyle w:val="Normal"/>
              <w:widowControl w:val="false"/>
              <w:jc w:val="center"/>
              <w:rPr>
                <w:i/>
                <w:i/>
                <w:sz w:val="26"/>
                <w:szCs w:val="26"/>
              </w:rPr>
            </w:pPr>
            <w:r>
              <w:rPr>
                <w:i/>
                <w:sz w:val="26"/>
                <w:szCs w:val="26"/>
              </w:rPr>
              <w:t>title</w:t>
            </w:r>
          </w:p>
        </w:tc>
      </w:tr>
    </w:tbl>
    <w:p>
      <w:pPr>
        <w:pStyle w:val="Caption"/>
        <w:spacing w:before="480" w:after="0"/>
        <w:rPr/>
      </w:pPr>
      <w:r>
        <w:rPr/>
        <w:t>THÔNG BÁO</w:t>
      </w:r>
    </w:p>
    <w:p>
      <w:pPr>
        <w:pStyle w:val="Normal"/>
        <w:jc w:val="center"/>
        <w:rPr>
          <w:b/>
          <w:b/>
          <w:bCs/>
        </w:rPr>
      </w:pPr>
      <w:r>
        <mc:AlternateContent>
          <mc:Choice Requires="wps">
            <w:drawing>
              <wp:anchor behindDoc="0" distT="5080" distB="5080" distL="0" distR="0" simplePos="0" locked="0" layoutInCell="0" allowOverlap="1" relativeHeight="4">
                <wp:simplePos x="0" y="0"/>
                <wp:positionH relativeFrom="column">
                  <wp:posOffset>2378710</wp:posOffset>
                </wp:positionH>
                <wp:positionV relativeFrom="paragraph">
                  <wp:posOffset>393700</wp:posOffset>
                </wp:positionV>
                <wp:extent cx="1002030" cy="635"/>
                <wp:effectExtent l="0" t="5080" r="0" b="5080"/>
                <wp:wrapNone/>
                <wp:docPr id="3" name="Shape3"/>
                <a:graphic xmlns:a="http://schemas.openxmlformats.org/drawingml/2006/main">
                  <a:graphicData uri="http://schemas.microsoft.com/office/word/2010/wordprocessingShape">
                    <wps:wsp>
                      <wps:cNvSpPr/>
                      <wps:spPr>
                        <a:xfrm>
                          <a:off x="0" y="0"/>
                          <a:ext cx="1001880" cy="72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187.3pt,31pt" to="266.15pt,31pt" ID="Shape3" stroked="t" o:allowincell="f" style="position:absolute">
                <v:stroke color="black" weight="9360" joinstyle="miter" endcap="flat"/>
                <v:fill o:detectmouseclick="t" on="false"/>
                <w10:wrap type="none"/>
              </v:line>
            </w:pict>
          </mc:Fallback>
        </mc:AlternateContent>
      </w:r>
      <w:r>
        <w:rPr>
          <w:b/>
          <w:bCs/>
          <w:lang w:val="vi-VN"/>
        </w:rPr>
        <w:t xml:space="preserve">Về việc </w:t>
      </w:r>
      <w:r>
        <w:rPr>
          <w:b/>
          <w:bCs/>
        </w:rPr>
        <w:t>thẩm định</w:t>
      </w:r>
      <w:r>
        <w:rPr>
          <w:b/>
          <w:bCs/>
          <w:lang w:val="vi-VN"/>
        </w:rPr>
        <w:t xml:space="preserve"> </w:t>
      </w:r>
      <w:r>
        <w:rPr>
          <w:b/>
          <w:bCs/>
        </w:rPr>
        <w:t xml:space="preserve">điều kiện an toàn thực phẩm </w:t>
        <w:br/>
        <w:t>cơ sở sản xuất, kinh doanh nông lâm thủy sản</w:t>
      </w:r>
    </w:p>
    <w:p>
      <w:pPr>
        <w:pStyle w:val="Normal"/>
        <w:jc w:val="center"/>
        <w:rPr>
          <w:b/>
          <w:b/>
          <w:bCs/>
        </w:rPr>
      </w:pPr>
      <w:r>
        <w:rPr>
          <w:b/>
          <w:bCs/>
        </w:rPr>
      </w:r>
    </w:p>
    <w:p>
      <w:pPr>
        <w:pStyle w:val="Normal"/>
        <w:ind w:firstLine="720"/>
        <w:jc w:val="both"/>
        <w:rPr>
          <w:b/>
          <w:b/>
          <w:bCs/>
        </w:rPr>
      </w:pPr>
      <w:r>
        <w:rPr>
          <w:lang w:val="vi-VN"/>
        </w:rPr>
        <w:t xml:space="preserve">Căn cứ Thông tư số </w:t>
      </w:r>
      <w:r>
        <w:rPr/>
        <w:t>38</w:t>
      </w:r>
      <w:r>
        <w:rPr>
          <w:lang w:val="vi-VN"/>
        </w:rPr>
        <w:t>/201</w:t>
      </w:r>
      <w:r>
        <w:rPr/>
        <w:t>8</w:t>
      </w:r>
      <w:r>
        <w:rPr>
          <w:lang w:val="vi-VN"/>
        </w:rPr>
        <w:t xml:space="preserve">/TT-BNNPTNT ngày </w:t>
      </w:r>
      <w:r>
        <w:rPr/>
        <w:t>25</w:t>
      </w:r>
      <w:r>
        <w:rPr>
          <w:lang w:val="vi-VN"/>
        </w:rPr>
        <w:t xml:space="preserve"> tháng 12 năm 201</w:t>
      </w:r>
      <w:r>
        <w:rPr/>
        <w:t>8</w:t>
      </w:r>
      <w:r>
        <w:rPr>
          <w:lang w:val="vi-VN"/>
        </w:rPr>
        <w:t xml:space="preserve"> của Bộ Nông nghiệp và Phát triển nông thôn quy định việc </w:t>
      </w:r>
      <w:r>
        <w:rPr/>
        <w:t>thẩm định, chứng nhận</w:t>
      </w:r>
      <w:r>
        <w:rPr>
          <w:lang w:val="vi-VN"/>
        </w:rPr>
        <w:t xml:space="preserve"> cơ sở sản xuất</w:t>
      </w:r>
      <w:r>
        <w:rPr/>
        <w:t>,</w:t>
      </w:r>
      <w:r>
        <w:rPr>
          <w:lang w:val="vi-VN"/>
        </w:rPr>
        <w:t xml:space="preserve"> kinh doanh </w:t>
      </w:r>
      <w:r>
        <w:rPr/>
        <w:t xml:space="preserve">thực phẩm nông, lâm, thủy sản </w:t>
      </w:r>
      <w:r>
        <w:rPr>
          <w:lang w:val="vi-VN"/>
        </w:rPr>
        <w:t>đủ điều kiện an toàn thực phẩm</w:t>
      </w:r>
      <w:r>
        <w:rPr/>
        <w:t xml:space="preserve"> thuộc phạm vi quản lý của </w:t>
      </w:r>
      <w:r>
        <w:rPr>
          <w:lang w:val="vi-VN"/>
        </w:rPr>
        <w:t>Bộ Nông nghiệp và Phát triển nông thôn</w:t>
      </w:r>
      <w:r>
        <w:rPr/>
        <w:t>;</w:t>
      </w:r>
    </w:p>
    <w:p>
      <w:pPr>
        <w:pStyle w:val="Normal"/>
        <w:spacing w:before="90" w:after="90"/>
        <w:ind w:firstLine="720"/>
        <w:jc w:val="both"/>
        <w:rPr>
          <w:b/>
          <w:b/>
        </w:rPr>
      </w:pPr>
      <w:r>
        <w:rPr>
          <w:color w:val="040C28"/>
        </w:rPr>
        <w:t>Căn cứ Thông tư 32</w:t>
      </w:r>
      <w:r>
        <w:rPr>
          <w:color w:val="202124"/>
          <w:shd w:fill="FFFFFF" w:val="clear"/>
        </w:rPr>
        <w:t>/2022/</w:t>
      </w:r>
      <w:r>
        <w:rPr>
          <w:color w:val="040C28"/>
        </w:rPr>
        <w:t>TT</w:t>
      </w:r>
      <w:r>
        <w:rPr>
          <w:color w:val="202124"/>
          <w:shd w:fill="FFFFFF" w:val="clear"/>
        </w:rPr>
        <w:t>-</w:t>
      </w:r>
      <w:r>
        <w:rPr>
          <w:color w:val="040C28"/>
        </w:rPr>
        <w:t>BNNPTNT ngày</w:t>
      </w:r>
      <w:r>
        <w:rPr>
          <w:color w:val="202124"/>
          <w:shd w:fill="FFFFFF" w:val="clear"/>
        </w:rPr>
        <w:t xml:space="preserve"> 30/12/2022 </w:t>
      </w:r>
      <w:r>
        <w:rPr>
          <w:lang w:val="vi-VN"/>
        </w:rPr>
        <w:t>của Bộ Nông nghiệp và Phát triển nông thôn</w:t>
      </w:r>
      <w:r>
        <w:rPr/>
        <w:t xml:space="preserve"> </w:t>
      </w:r>
      <w:r>
        <w:rPr>
          <w:color w:val="202124"/>
          <w:shd w:fill="FFFFFF" w:val="clear"/>
        </w:rPr>
        <w:t>sửa đổi, bổ sung một số </w:t>
      </w:r>
      <w:r>
        <w:rPr>
          <w:color w:val="040C28"/>
        </w:rPr>
        <w:t>Thông tư</w:t>
      </w:r>
      <w:r>
        <w:rPr>
          <w:color w:val="202124"/>
          <w:shd w:fill="FFFFFF" w:val="clear"/>
        </w:rPr>
        <w:t> quy định thẩm định, chứng nhận cơ sở sản xuất, kinh doanh thực phẩm nông, lâm, thủy sản đủ điều kiện bảo đảm an toàn thực phẩm thuộc phạm vi quản lý của Bộ Nông nghiệp và Phát triển nông thôn.</w:t>
      </w:r>
    </w:p>
    <w:p>
      <w:pPr>
        <w:pStyle w:val="Normal"/>
        <w:spacing w:lineRule="auto" w:line="288" w:before="90" w:after="90"/>
        <w:ind w:firstLine="720"/>
        <w:jc w:val="both"/>
        <w:rPr/>
      </w:pPr>
      <w:r>
        <w:rPr>
          <w:lang w:val="vi-VN"/>
        </w:rPr>
        <w:t xml:space="preserve">Chi cục Quản lý </w:t>
      </w:r>
      <w:r>
        <w:rPr/>
        <w:t>c</w:t>
      </w:r>
      <w:r>
        <w:rPr>
          <w:lang w:val="vi-VN"/>
        </w:rPr>
        <w:t>hất lượng Nông lâm sản và Thủy sản Bến</w:t>
      </w:r>
      <w:r>
        <w:rPr/>
        <w:t xml:space="preserve"> </w:t>
      </w:r>
      <w:r>
        <w:rPr>
          <w:lang w:val="vi-VN"/>
        </w:rPr>
        <w:t xml:space="preserve">Tre thông báo </w:t>
      </w:r>
      <w:r>
        <w:rPr/>
        <w:t>thời gian dự kiến</w:t>
      </w:r>
      <w:r>
        <w:rPr>
          <w:color w:val="FF0000"/>
        </w:rPr>
        <w:t xml:space="preserve"> </w:t>
      </w:r>
      <w:r>
        <w:rPr/>
        <w:t>thẩm định</w:t>
      </w:r>
      <w:r>
        <w:rPr>
          <w:lang w:val="vi-VN"/>
        </w:rPr>
        <w:t xml:space="preserve"> điều kiện an toàn thực phẩm</w:t>
      </w:r>
      <w:r>
        <w:rPr/>
        <w:t xml:space="preserve"> của các cơ sở (phụ lục kèm theo).</w:t>
      </w:r>
    </w:p>
    <w:p>
      <w:pPr>
        <w:pStyle w:val="Normal"/>
        <w:spacing w:before="120" w:after="120"/>
        <w:ind w:firstLine="720"/>
        <w:jc w:val="both"/>
        <w:rPr/>
      </w:pPr>
      <w:r>
        <w:rPr>
          <w:lang w:val="vi-VN"/>
        </w:rPr>
        <w:t xml:space="preserve">Nhận được thông báo này, </w:t>
      </w:r>
      <w:r>
        <w:rPr/>
        <w:t xml:space="preserve">chủ cơ sở </w:t>
      </w:r>
      <w:r>
        <w:rPr>
          <w:lang w:val="vi-VN"/>
        </w:rPr>
        <w:t>hoặc người đại diện phải có mặt đúng thời gian và địa điểm nêu trên</w:t>
      </w:r>
      <w:r>
        <w:rPr/>
        <w:t>, chuẩn bị các hồ sơ có liên quan</w:t>
      </w:r>
      <w:r>
        <w:rPr>
          <w:lang w:val="vi-VN"/>
        </w:rPr>
        <w:t xml:space="preserve"> để phục vụ công tác </w:t>
      </w:r>
      <w:r>
        <w:rPr/>
        <w:t>thẩm định.</w:t>
      </w:r>
    </w:p>
    <w:p>
      <w:pPr>
        <w:pStyle w:val="Normal"/>
        <w:spacing w:before="120" w:after="120"/>
        <w:ind w:firstLine="720"/>
        <w:jc w:val="both"/>
        <w:rPr/>
      </w:pPr>
      <w:r>
        <w:rPr/>
        <w:t xml:space="preserve">Đề nghị chủ cơ sở </w:t>
      </w:r>
      <w:r>
        <w:rPr>
          <w:lang w:val="vi-VN"/>
        </w:rPr>
        <w:t>hoặc người đại diện</w:t>
      </w:r>
      <w:r>
        <w:rPr/>
        <w:t xml:space="preserve"> thực hiện đúng theo yêu cầu của thông báo này</w:t>
      </w:r>
      <w:r>
        <w:rPr>
          <w:lang w:val="vi-VN"/>
        </w:rPr>
        <w:t>./.</w:t>
      </w:r>
    </w:p>
    <w:tbl>
      <w:tblPr>
        <w:tblW w:w="9072" w:type="dxa"/>
        <w:jc w:val="left"/>
        <w:tblInd w:w="0" w:type="dxa"/>
        <w:tblLayout w:type="fixed"/>
        <w:tblCellMar>
          <w:top w:w="0" w:type="dxa"/>
          <w:left w:w="108" w:type="dxa"/>
          <w:bottom w:w="0" w:type="dxa"/>
          <w:right w:w="108" w:type="dxa"/>
        </w:tblCellMar>
      </w:tblPr>
      <w:tblGrid>
        <w:gridCol w:w="4467"/>
        <w:gridCol w:w="720"/>
        <w:gridCol w:w="3885"/>
      </w:tblGrid>
      <w:tr>
        <w:trPr>
          <w:trHeight w:val="532" w:hRule="atLeast"/>
        </w:trPr>
        <w:tc>
          <w:tcPr>
            <w:tcW w:w="4467" w:type="dxa"/>
            <w:tcBorders/>
          </w:tcPr>
          <w:p>
            <w:pPr>
              <w:pStyle w:val="Normal"/>
              <w:widowControl w:val="false"/>
              <w:snapToGrid w:val="false"/>
              <w:ind w:right="-34" w:hanging="0"/>
              <w:rPr>
                <w:b/>
                <w:b/>
                <w:bCs/>
                <w:i/>
                <w:i/>
                <w:iCs/>
                <w:sz w:val="24"/>
              </w:rPr>
            </w:pPr>
            <w:r>
              <w:rPr>
                <w:b/>
                <w:bCs/>
                <w:i/>
                <w:iCs/>
                <w:sz w:val="24"/>
              </w:rPr>
            </w:r>
          </w:p>
          <w:p>
            <w:pPr>
              <w:pStyle w:val="Normal"/>
              <w:widowControl w:val="false"/>
              <w:ind w:right="-34" w:hanging="0"/>
              <w:rPr>
                <w:sz w:val="24"/>
              </w:rPr>
            </w:pPr>
            <w:r>
              <w:rPr>
                <w:b/>
                <w:bCs/>
                <w:i/>
                <w:iCs/>
                <w:sz w:val="24"/>
              </w:rPr>
              <w:t>Nơi nhận:</w:t>
            </w:r>
          </w:p>
        </w:tc>
        <w:tc>
          <w:tcPr>
            <w:tcW w:w="720" w:type="dxa"/>
            <w:tcBorders/>
          </w:tcPr>
          <w:p>
            <w:pPr>
              <w:pStyle w:val="Normal"/>
              <w:widowControl w:val="false"/>
              <w:snapToGrid w:val="false"/>
              <w:rPr>
                <w:color w:val="FF0000"/>
                <w:sz w:val="24"/>
                <w:lang w:val="fr-FR"/>
              </w:rPr>
            </w:pPr>
            <w:r>
              <w:rPr>
                <w:color w:val="FF0000"/>
                <w:sz w:val="24"/>
                <w:lang w:val="fr-FR"/>
              </w:rPr>
            </w:r>
          </w:p>
        </w:tc>
        <w:tc>
          <w:tcPr>
            <w:tcW w:w="3885" w:type="dxa"/>
            <w:tcBorders/>
            <w:vAlign w:val="center"/>
          </w:tcPr>
          <w:p>
            <w:pPr>
              <w:pStyle w:val="Normal"/>
              <w:widowControl w:val="false"/>
              <w:spacing w:before="240" w:after="0"/>
              <w:jc w:val="center"/>
              <w:rPr>
                <w:b/>
                <w:b/>
              </w:rPr>
            </w:pPr>
            <w:r>
              <w:rPr>
                <w:b/>
              </w:rPr>
              <w:t>kt</w:t>
            </w:r>
          </w:p>
        </w:tc>
      </w:tr>
      <w:tr>
        <w:trPr/>
        <w:tc>
          <w:tcPr>
            <w:tcW w:w="4467" w:type="dxa"/>
            <w:tcBorders/>
          </w:tcPr>
          <w:p>
            <w:pPr>
              <w:pStyle w:val="Normal"/>
              <w:widowControl w:val="false"/>
              <w:ind w:left="-108" w:hanging="0"/>
              <w:jc w:val="both"/>
              <w:rPr/>
            </w:pPr>
            <w:r>
              <w:rPr>
                <w:sz w:val="22"/>
                <w:lang w:val="fr-FR"/>
              </w:rPr>
              <w:t xml:space="preserve">- </w:t>
            </w:r>
            <w:r>
              <w:rPr>
                <w:sz w:val="22"/>
                <w:szCs w:val="22"/>
                <w:lang w:val="fr-FR"/>
              </w:rPr>
              <w:t xml:space="preserve">Cơ sở nêu trên </w:t>
            </w:r>
            <w:r>
              <w:rPr>
                <w:sz w:val="22"/>
                <w:lang w:val="fr-FR"/>
              </w:rPr>
              <w:t>(thực hiện);</w:t>
            </w:r>
            <w:r>
              <w:rPr>
                <w:sz w:val="22"/>
                <w:szCs w:val="22"/>
                <w:lang w:val="fr-FR"/>
              </w:rPr>
              <w:t xml:space="preserve"> </w:t>
            </w:r>
          </w:p>
          <w:p>
            <w:pPr>
              <w:pStyle w:val="Normal"/>
              <w:widowControl w:val="false"/>
              <w:ind w:left="-108" w:hanging="0"/>
              <w:jc w:val="both"/>
              <w:rPr>
                <w:sz w:val="22"/>
                <w:lang w:val="fr-FR"/>
              </w:rPr>
            </w:pPr>
            <w:r>
              <w:rPr>
                <w:sz w:val="22"/>
                <w:lang w:val="fr-FR"/>
              </w:rPr>
              <w:t>- Lưu: VT, QLCL</w:t>
            </w:r>
            <w:r>
              <w:rPr>
                <w:sz w:val="22"/>
                <w:szCs w:val="22"/>
                <w:lang w:val="fr-FR"/>
              </w:rPr>
              <w:t>, Nhân.04.</w:t>
            </w:r>
          </w:p>
          <w:p>
            <w:pPr>
              <w:pStyle w:val="Normal"/>
              <w:widowControl w:val="false"/>
              <w:rPr>
                <w:sz w:val="22"/>
                <w:lang w:val="fr-FR"/>
              </w:rPr>
            </w:pPr>
            <w:r>
              <w:rPr>
                <w:sz w:val="22"/>
                <w:lang w:val="fr-FR"/>
              </w:rPr>
            </w:r>
          </w:p>
        </w:tc>
        <w:tc>
          <w:tcPr>
            <w:tcW w:w="720" w:type="dxa"/>
            <w:tcBorders/>
          </w:tcPr>
          <w:p>
            <w:pPr>
              <w:pStyle w:val="Normal"/>
              <w:widowControl w:val="false"/>
              <w:snapToGrid w:val="false"/>
              <w:rPr>
                <w:color w:val="FF0000"/>
                <w:sz w:val="22"/>
                <w:lang w:val="fr-FR"/>
              </w:rPr>
            </w:pPr>
            <w:r>
              <w:rPr>
                <w:color w:val="FF0000"/>
                <w:sz w:val="22"/>
                <w:lang w:val="fr-FR"/>
              </w:rPr>
            </w:r>
          </w:p>
        </w:tc>
        <w:tc>
          <w:tcPr>
            <w:tcW w:w="3885" w:type="dxa"/>
            <w:tcBorders/>
          </w:tcPr>
          <w:p>
            <w:pPr>
              <w:pStyle w:val="Normal"/>
              <w:widowControl w:val="false"/>
              <w:jc w:val="center"/>
              <w:rPr>
                <w:b/>
                <w:b/>
                <w:bCs/>
                <w:lang w:val="fr-FR"/>
              </w:rPr>
            </w:pPr>
            <w:r>
              <w:rPr>
                <w:b/>
                <w:bCs/>
                <w:lang w:val="fr-FR"/>
              </w:rPr>
              <w:t>role</w:t>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t>sign</w:t>
            </w:r>
          </w:p>
          <w:p>
            <w:pPr>
              <w:pStyle w:val="Normal"/>
              <w:widowControl w:val="false"/>
              <w:jc w:val="center"/>
              <w:rPr>
                <w:b/>
                <w:b/>
                <w:bCs/>
                <w:lang w:val="fr-FR"/>
              </w:rPr>
            </w:pPr>
            <w:r>
              <w:rPr>
                <w:b/>
                <w:bCs/>
                <w:lang w:val="fr-FR"/>
              </w:rPr>
            </w:r>
          </w:p>
          <w:p>
            <w:pPr>
              <w:pStyle w:val="Normal"/>
              <w:widowControl w:val="false"/>
              <w:jc w:val="center"/>
              <w:rPr>
                <w:b/>
                <w:b/>
                <w:bCs/>
                <w:lang w:val="fr-FR"/>
              </w:rPr>
            </w:pPr>
            <w:r>
              <w:rPr>
                <w:b/>
                <w:bCs/>
                <w:lang w:val="fr-FR"/>
              </w:rPr>
            </w:r>
          </w:p>
        </w:tc>
      </w:tr>
    </w:tbl>
    <w:p>
      <w:pPr>
        <w:pStyle w:val="Normal"/>
        <w:rPr>
          <w:sz w:val="26"/>
          <w:szCs w:val="26"/>
        </w:rPr>
      </w:pPr>
      <w:r>
        <w:rPr/>
      </w:r>
    </w:p>
    <w:sectPr>
      <w:footerReference w:type="default" r:id="rId2"/>
      <w:footerReference w:type="first" r:id="rId3"/>
      <w:type w:val="nextPage"/>
      <w:pgSz w:w="11906" w:h="16838"/>
      <w:pgMar w:left="1701" w:right="1134" w:gutter="0" w:header="0" w:top="1134" w:footer="731"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VNI-Times">
    <w:charset w:val="01"/>
    <w:family w:val="roman"/>
    <w:pitch w:val="variable"/>
  </w:font>
  <w:font w:name="Wingdings">
    <w:charset w:val="01"/>
    <w:family w:val="roman"/>
    <w:pitch w:val="variable"/>
  </w:font>
  <w:font w:name="Courier New">
    <w:charset w:val="01"/>
    <w:family w:val="roman"/>
    <w:pitch w:val="variable"/>
  </w:font>
  <w:font w:name="Symbol">
    <w:charset w:val="01"/>
    <w:family w:val="roman"/>
    <w:pitch w:val="variable"/>
  </w:font>
  <w:font w:name="Segoe UI">
    <w:charset w:val="01"/>
    <w:family w:val="roman"/>
    <w:pitch w:val="variable"/>
  </w:font>
  <w:font w:name="Liberation Sans">
    <w:altName w:val="Arial"/>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right"/>
      <w:rPr>
        <w:sz w:val="26"/>
        <w:szCs w:val="26"/>
      </w:rPr>
    </w:pPr>
    <w:r>
      <w:rPr>
        <w:sz w:val="26"/>
        <w:szCs w:val="26"/>
      </w:rPr>
      <w:fldChar w:fldCharType="begin"/>
    </w:r>
    <w:r>
      <w:rPr>
        <w:sz w:val="26"/>
        <w:szCs w:val="26"/>
      </w:rPr>
      <w:instrText xml:space="preserve"> PAGE </w:instrText>
    </w:r>
    <w:r>
      <w:rPr>
        <w:sz w:val="26"/>
        <w:szCs w:val="26"/>
      </w:rPr>
      <w:fldChar w:fldCharType="separate"/>
    </w:r>
    <w:r>
      <w:rPr>
        <w:sz w:val="26"/>
        <w:szCs w:val="26"/>
      </w:rPr>
      <w:t>0</w:t>
    </w:r>
    <w:r>
      <w:rPr>
        <w:sz w:val="26"/>
        <w:szCs w:val="26"/>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8"/>
      <w:szCs w:val="28"/>
      <w:lang w:val="en-US" w:eastAsia="zh-CN" w:bidi="ar-SA"/>
    </w:rPr>
  </w:style>
  <w:style w:type="paragraph" w:styleId="Heading1">
    <w:name w:val="Heading 1"/>
    <w:basedOn w:val="Normal"/>
    <w:next w:val="Normal"/>
    <w:qFormat/>
    <w:pPr>
      <w:keepNext w:val="true"/>
      <w:numPr>
        <w:ilvl w:val="0"/>
        <w:numId w:val="1"/>
      </w:numPr>
      <w:tabs>
        <w:tab w:val="clear" w:pos="720"/>
        <w:tab w:val="left" w:pos="571" w:leader="none"/>
        <w:tab w:val="right" w:pos="9355" w:leader="none"/>
      </w:tabs>
      <w:jc w:val="both"/>
      <w:outlineLvl w:val="0"/>
    </w:pPr>
    <w:rPr>
      <w:b/>
      <w:bCs/>
    </w:rPr>
  </w:style>
  <w:style w:type="paragraph" w:styleId="Heading8">
    <w:name w:val="Heading 8"/>
    <w:basedOn w:val="Normal"/>
    <w:next w:val="Normal"/>
    <w:qFormat/>
    <w:pPr>
      <w:keepNext w:val="true"/>
      <w:numPr>
        <w:ilvl w:val="7"/>
        <w:numId w:val="1"/>
      </w:numPr>
      <w:jc w:val="both"/>
      <w:outlineLvl w:val="7"/>
    </w:pPr>
    <w:rPr>
      <w:rFonts w:ascii="VNI-Times" w:hAnsi="VNI-Times" w:cs="VNI-Times"/>
      <w:b/>
      <w:sz w:val="26"/>
      <w:szCs w:val="20"/>
      <w:lang w:val="en-GB"/>
    </w:rPr>
  </w:style>
  <w:style w:type="character" w:styleId="WW8Num1z0">
    <w:name w:val="WW8Num1z0"/>
    <w:qFormat/>
    <w:rPr>
      <w:rFonts w:ascii="Wingdings" w:hAnsi="Wingdings" w:cs="Wingdings"/>
    </w:rPr>
  </w:style>
  <w:style w:type="character" w:styleId="WW8Num1z1">
    <w:name w:val="WW8Num1z1"/>
    <w:qFormat/>
    <w:rPr>
      <w:rFonts w:ascii="Courier New" w:hAnsi="Courier New" w:cs="Courier New"/>
    </w:rPr>
  </w:style>
  <w:style w:type="character" w:styleId="WW8Num1z3">
    <w:name w:val="WW8Num1z3"/>
    <w:qFormat/>
    <w:rPr>
      <w:rFonts w:ascii="Symbol" w:hAnsi="Symbol" w:cs="Symbol"/>
    </w:rPr>
  </w:style>
  <w:style w:type="character" w:styleId="WW8Num2z0">
    <w:name w:val="WW8Num2z0"/>
    <w:qFormat/>
    <w:rPr>
      <w:rFonts w:ascii="Times New Roman" w:hAnsi="Times New Roman" w:eastAsia="Times New Roman" w:cs="Times New Roman"/>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2z3">
    <w:name w:val="WW8Num2z3"/>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character" w:styleId="HeaderChar">
    <w:name w:val="Header Char"/>
    <w:qFormat/>
    <w:rPr>
      <w:sz w:val="28"/>
      <w:szCs w:val="28"/>
    </w:rPr>
  </w:style>
  <w:style w:type="character" w:styleId="BalloonTextChar">
    <w:name w:val="Balloon Text Char"/>
    <w:qFormat/>
    <w:rPr>
      <w:rFonts w:ascii="Segoe UI" w:hAnsi="Segoe UI" w:cs="Segoe UI"/>
      <w:sz w:val="18"/>
      <w:szCs w:val="18"/>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next w:val="Normal"/>
    <w:qFormat/>
    <w:pPr>
      <w:spacing w:before="180" w:after="0"/>
      <w:jc w:val="center"/>
    </w:pPr>
    <w:rPr>
      <w:b/>
    </w:rPr>
  </w:style>
  <w:style w:type="paragraph" w:styleId="Index">
    <w:name w:val="Index"/>
    <w:basedOn w:val="Normal"/>
    <w:qFormat/>
    <w:pPr>
      <w:suppressLineNumbers/>
    </w:pPr>
    <w:rPr>
      <w:rFonts w:cs="Lohit Devanagari"/>
    </w:rPr>
  </w:style>
  <w:style w:type="paragraph" w:styleId="TextBodyIndent">
    <w:name w:val="Body Text Indent"/>
    <w:basedOn w:val="Normal"/>
    <w:pPr>
      <w:ind w:firstLine="720"/>
      <w:jc w:val="both"/>
    </w:pPr>
    <w:rPr>
      <w:szCs w:val="24"/>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Header">
    <w:name w:val="Header"/>
    <w:basedOn w:val="Normal"/>
    <w:pPr>
      <w:tabs>
        <w:tab w:val="clear" w:pos="720"/>
        <w:tab w:val="center" w:pos="4680" w:leader="none"/>
        <w:tab w:val="right" w:pos="9360" w:leader="none"/>
      </w:tabs>
    </w:pPr>
    <w:rPr>
      <w:lang w:val="en-US"/>
    </w:rPr>
  </w:style>
  <w:style w:type="paragraph" w:styleId="CharChar">
    <w:name w:val=" Char Char"/>
    <w:basedOn w:val="Normal"/>
    <w:qFormat/>
    <w:pPr/>
    <w:rPr>
      <w:rFonts w:ascii="Arial" w:hAnsi="Arial" w:cs="Arial"/>
      <w:sz w:val="22"/>
      <w:szCs w:val="20"/>
      <w:lang w:val="en-AU"/>
    </w:rPr>
  </w:style>
  <w:style w:type="paragraph" w:styleId="BalloonText">
    <w:name w:val="Balloon Text"/>
    <w:basedOn w:val="Normal"/>
    <w:qFormat/>
    <w:pPr/>
    <w:rPr>
      <w:rFonts w:ascii="Segoe UI" w:hAnsi="Segoe UI" w:cs="Segoe UI"/>
      <w:sz w:val="18"/>
      <w:szCs w:val="18"/>
      <w:lang w:val="en-US"/>
    </w:rPr>
  </w:style>
  <w:style w:type="paragraph" w:styleId="CharCharCharCharCharChar">
    <w:name w:val=" Char Char Char Char Char Char"/>
    <w:basedOn w:val="Normal"/>
    <w:qFormat/>
    <w:pPr/>
    <w:rPr>
      <w:rFonts w:ascii="Arial" w:hAnsi="Arial" w:cs="Arial"/>
      <w:sz w:val="22"/>
      <w:szCs w:val="20"/>
      <w:lang w:val="en-AU"/>
    </w:rPr>
  </w:style>
  <w:style w:type="paragraph" w:styleId="CommentText">
    <w:name w:val="Comment Text"/>
    <w:basedOn w:val="Normal"/>
    <w:qFormat/>
    <w:pPr/>
    <w:rPr>
      <w:sz w:val="20"/>
      <w:szCs w:val="20"/>
    </w:rPr>
  </w:style>
  <w:style w:type="paragraph" w:styleId="CommentSubject">
    <w:name w:val="Comment Subject"/>
    <w:basedOn w:val="CommentText"/>
    <w:next w:val="CommentText"/>
    <w:qFormat/>
    <w:pPr/>
    <w:rPr>
      <w:b/>
      <w:bCs/>
      <w:lang w:val="en-U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911</TotalTime>
  <Application>LibreOffice/7.3.7.2$Linux_X86_64 LibreOffice_project/30$Build-2</Application>
  <AppVersion>15.0000</AppVersion>
  <Pages>1</Pages>
  <Words>295</Words>
  <Characters>1080</Characters>
  <CharactersWithSpaces>1374</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2016-04-08T09:33:00Z</dcterms:created>
  <dc:creator>User</dc:creator>
  <dc:description/>
  <dc:language>en-US</dc:language>
  <cp:lastModifiedBy/>
  <cp:lastPrinted>2020-11-20T09:14:00Z</cp:lastPrinted>
  <dcterms:modified xsi:type="dcterms:W3CDTF">2023-11-20T14:53:21Z</dcterms:modified>
  <cp:revision>432</cp:revision>
  <dc:subject/>
  <dc:title>ỦY BAN NHÂN DÂN TỈNH BẾN TRE           Cộng Hòa Xã Hội Chủ Nghĩa Việt Nam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a0051ae13ab078df00f0f02ee83289952a7fc2f1a89ef114cc54cf234d4a32cb_x0000__x0000__x0000_</vt:lpwstr>
  </property>
</Properties>
</file>