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TẬP 1 】</w:t>
      </w:r>
    </w:p>
    <w:p/>
    <w:p/>
    <w:p/>
    <w:p/>
    <w:p>
      <w:pPr>
        <w:jc w:val="center"/>
      </w:pPr>
      <w:r>
        <w:rPr>
          <w:i/>
          <w:color w:val="5A5A5A"/>
          <w:sz w:val="20"/>
        </w:rP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Mục 1: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Mục 2: 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+ 1.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+ 2. Giao vai trò cho AI và tạo cho nó đủ ngữ cảnh</w:t>
      </w:r>
    </w:p>
    <w:p>
      <w:pPr>
        <w:spacing w:before="0" w:after="100" w:line="300" w:lineRule="auto"/>
        <w:ind w:firstLine="360"/>
        <w:jc w:val="both"/>
      </w:pPr>
      <w:r>
        <w:rPr>
          <w:rFonts w:ascii="Times New Roman" w:hAnsi="Times New Roman"/>
          <w:b w:val="0"/>
          <w:i w:val="0"/>
          <w:sz w:val="24"/>
        </w:rPr>
        <w:t>+ 3.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+ 4. Phân biệt dữ kiện, tín hiệu và giả thuyết; đọc chéo quyết sách, dữ liệu và đời sống</w:t>
      </w:r>
    </w:p>
    <w:p>
      <w:pPr>
        <w:spacing w:before="0" w:after="100" w:line="300" w:lineRule="auto"/>
        <w:ind w:firstLine="360"/>
        <w:jc w:val="both"/>
      </w:pPr>
      <w:r>
        <w:rPr>
          <w:rFonts w:ascii="Times New Roman" w:hAnsi="Times New Roman"/>
          <w:b w:val="0"/>
          <w:i w:val="0"/>
          <w:sz w:val="24"/>
        </w:rPr>
        <w:t>+ 5. Đừng chỉ hỏi “có tin gì”, hãy tìm xem “cái gì đang thay đổi”</w:t>
      </w:r>
    </w:p>
    <w:p>
      <w:pPr>
        <w:spacing w:before="0" w:after="100" w:line="300" w:lineRule="auto"/>
        <w:ind w:firstLine="360"/>
        <w:jc w:val="both"/>
      </w:pPr>
      <w:r>
        <w:rPr>
          <w:rFonts w:ascii="Times New Roman" w:hAnsi="Times New Roman"/>
          <w:b w:val="0"/>
          <w:i w:val="0"/>
          <w:sz w:val="24"/>
        </w:rPr>
        <w:t>+ 6. Một ý tưởng chỉ có giá trị khi đi được tới tác nghiệp</w:t>
      </w:r>
    </w:p>
    <w:p>
      <w:pPr>
        <w:spacing w:before="0" w:after="100" w:line="300" w:lineRule="auto"/>
        <w:ind w:firstLine="360"/>
        <w:jc w:val="both"/>
      </w:pPr>
      <w:r>
        <w:rPr>
          <w:rFonts w:ascii="Times New Roman" w:hAnsi="Times New Roman"/>
          <w:b w:val="0"/>
          <w:i w:val="0"/>
          <w:sz w:val="24"/>
        </w:rPr>
        <w:t>+ 7.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+ 8. Dùng AI trước khi viết, không bắt đầu từ tiêu đề</w:t>
      </w:r>
    </w:p>
    <w:p>
      <w:pPr>
        <w:spacing w:before="0" w:after="100" w:line="300" w:lineRule="auto"/>
        <w:ind w:firstLine="360"/>
        <w:jc w:val="both"/>
      </w:pPr>
      <w:r>
        <w:rPr>
          <w:rFonts w:ascii="Times New Roman" w:hAnsi="Times New Roman"/>
          <w:b w:val="0"/>
          <w:i w:val="0"/>
          <w:sz w:val="24"/>
        </w:rPr>
        <w:t>+ 9. Đầu ra đầu tiên hiếm khi là đầu ra cuối cùng</w:t>
      </w:r>
    </w:p>
    <w:p>
      <w:pPr>
        <w:spacing w:before="0" w:after="100" w:line="300" w:lineRule="auto"/>
        <w:ind w:firstLine="360"/>
        <w:jc w:val="both"/>
      </w:pPr>
      <w:r>
        <w:rPr>
          <w:rFonts w:ascii="Times New Roman" w:hAnsi="Times New Roman"/>
          <w:b w:val="0"/>
          <w:i w:val="0"/>
          <w:sz w:val="24"/>
        </w:rPr>
        <w:t>+ 10. Từ prompt cá nhân đến hệ thống tri thức của tòa soạn</w:t>
      </w:r>
    </w:p>
    <w:p>
      <w:pPr>
        <w:spacing w:before="0" w:after="100" w:line="300" w:lineRule="auto"/>
        <w:ind w:firstLine="360"/>
        <w:jc w:val="both"/>
      </w:pPr>
      <w:r>
        <w:rPr>
          <w:rFonts w:ascii="Times New Roman" w:hAnsi="Times New Roman"/>
          <w:b w:val="0"/>
          <w:i w:val="0"/>
          <w:sz w:val="24"/>
        </w:rPr>
        <w:t>+ 11. Ranh giới cuối cùng vẫn là trách nhiệm nghề nghiệp của con người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19"/>
      </w:rPr>
      <w:t xml:space="preserve">— </w:t>
    </w:r>
    <w:fldSimple w:instr="PAGE"/>
    <w:r>
      <w:rPr>
        <w:rFonts w:ascii="Times New Roman" w:hAnsi="Times New Roman"/>
        <w:color w:val="505050"/>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