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澳门新苗 StoreOps切换策略</w:t>
      </w:r>
      <w:r>
        <w:rPr>
          <w:rFonts w:eastAsia="等线" w:ascii="Arial" w:cs="Arial" w:hAnsi="Arial"/>
          <w:b w:val="true"/>
          <w:sz w:val="52"/>
        </w:rPr>
        <w:t xml:space="preserve"> 副本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整体目录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一、切换主计划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二、第一阶段切换方案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三、模拟演练及预案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四、系统检查和验证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五、切换总结及支持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切换实施范围与目标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切换范围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Integration Scope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Module for Integration：Vendor data，Ordering Module，StoreOps Module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Data：Purchase Data、POG Data、Promotion 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Ordering：SO API、STO file、DSP file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StoreOps：IBT File，Stocktake File，Receiving File，Return File、adjustment file、gap check file.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14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StoreOps阶段切换方案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</w:t>
      </w:r>
      <w:r>
        <w:rPr>
          <w:rFonts w:eastAsia="等线" w:ascii="Arial" w:cs="Arial" w:hAnsi="Arial"/>
          <w:color w:val="d83931"/>
          <w:sz w:val="22"/>
        </w:rPr>
        <w:t>不中断业务</w:t>
      </w:r>
      <w:r>
        <w:rPr>
          <w:rFonts w:eastAsia="等线" w:ascii="Arial" w:cs="Arial" w:hAnsi="Arial"/>
          <w:sz w:val="22"/>
        </w:rPr>
        <w:t>为原则平滑过渡（24H店铺）：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本次切换涉及到的系统包括店务模块、订单模块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涉及到集成的模块主数据模块、订单模块、店务模块；关联到老系统包括：MMS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Cut Over Plan Overview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Cut Over Plan By Hour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主数据切换方案</w:t>
      </w:r>
      <w:bookmarkEnd w:id="7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策略简介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主数据切换主要为静态数据切换，主要涉及：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  <w:shd w:fill="fff67a"/>
        </w:rPr>
        <w:t>人员信息</w:t>
      </w:r>
      <w:r>
        <w:rPr>
          <w:rFonts w:eastAsia="等线" w:ascii="Arial" w:cs="Arial" w:hAnsi="Arial"/>
          <w:strike w:val="true"/>
          <w:sz w:val="22"/>
        </w:rPr>
        <w:t>、门店信息、商品、门店商品、品类、</w:t>
      </w:r>
      <w:r>
        <w:rPr>
          <w:rFonts w:eastAsia="等线" w:ascii="Arial" w:cs="Arial" w:hAnsi="Arial"/>
          <w:strike w:val="true"/>
          <w:sz w:val="22"/>
          <w:shd w:fill="fed4a4"/>
        </w:rPr>
        <w:t>进售价</w:t>
      </w:r>
      <w:r>
        <w:rPr>
          <w:rFonts w:eastAsia="等线" w:ascii="Arial" w:cs="Arial" w:hAnsi="Arial"/>
          <w:strike w:val="true"/>
          <w:sz w:val="22"/>
        </w:rPr>
        <w:t>、促销、</w:t>
      </w:r>
      <w:r>
        <w:rPr>
          <w:rFonts w:eastAsia="等线" w:ascii="Arial" w:cs="Arial" w:hAnsi="Arial"/>
          <w:strike w:val="true"/>
          <w:sz w:val="22"/>
          <w:shd w:fill="fed4a4"/>
        </w:rPr>
        <w:t>供应商</w:t>
      </w:r>
      <w:r>
        <w:rPr>
          <w:rFonts w:eastAsia="等线" w:ascii="Arial" w:cs="Arial" w:hAnsi="Arial"/>
          <w:strike w:val="true"/>
          <w:sz w:val="22"/>
        </w:rPr>
        <w:t>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静态数据在切换之前通过接口、线下收集等方式在系统中提取配置，在上线前一周进行核验；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执行步骤：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D-10 人员信息、门店信息。进行收集和确认，包括Role Matrix设计。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D-10 RTA&amp;MMDS、CSRM集成代码发布。发布当天需避免对已上线WMS、POS产生影响。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RTA进行数据验证：主数据信息，POG信息等。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主数据已在pos阶段完成上线，本阶段只涉及数据验证检查，不涉及datalake代码发布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涉及主数据表：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[电子表格下载失败]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订单</w:t>
      </w:r>
      <w:r>
        <w:rPr>
          <w:rFonts w:eastAsia="等线" w:ascii="Arial" w:cs="Arial" w:hAnsi="Arial"/>
          <w:b w:val="true"/>
          <w:sz w:val="32"/>
        </w:rPr>
        <w:t>切换方案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日航：白天收货（早上7点到下午6点）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夜航：夜晚收货（24点闭店门店：晚上8点-晚上11:00；24小时门店：晚上8点到凌晨6点）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一个门店有固定日航/夜航属性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订单数据主要为动态数据，包含在</w:t>
      </w:r>
      <w:r>
        <w:rPr>
          <w:rFonts w:eastAsia="等线" w:ascii="Arial" w:cs="Arial" w:hAnsi="Arial"/>
          <w:sz w:val="22"/>
        </w:rPr>
        <w:t>待收订单、在</w:t>
      </w:r>
      <w:r>
        <w:rPr>
          <w:rFonts w:eastAsia="等线" w:ascii="Arial" w:cs="Arial" w:hAnsi="Arial"/>
          <w:sz w:val="22"/>
        </w:rPr>
        <w:t>途订单、退货数据等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切换前已收货的订单，在legacy里完成关单等闭环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切换前未收货的订单，包括待收、在途等，在</w:t>
      </w:r>
      <w:r>
        <w:rPr>
          <w:rFonts w:eastAsia="等线" w:ascii="Arial" w:cs="Arial" w:hAnsi="Arial"/>
          <w:b w:val="true"/>
          <w:sz w:val="22"/>
        </w:rPr>
        <w:t>切换后即可在RTA完成收货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切换前已发起的</w:t>
      </w:r>
      <w:r>
        <w:rPr>
          <w:rFonts w:eastAsia="等线" w:ascii="Arial" w:cs="Arial" w:hAnsi="Arial"/>
          <w:sz w:val="22"/>
        </w:rPr>
        <w:t>退单，</w:t>
      </w:r>
      <w:r>
        <w:rPr>
          <w:rFonts w:eastAsia="等线" w:ascii="Arial" w:cs="Arial" w:hAnsi="Arial"/>
          <w:sz w:val="22"/>
        </w:rPr>
        <w:t>在legacy里完成退货、关单等；同时门店在切换前最好把要退的商品都退掉。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切换后只支持发起新的退单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2.4.1 </w:t>
      </w:r>
      <w:r>
        <w:rPr>
          <w:rFonts w:eastAsia="等线" w:ascii="Arial" w:cs="Arial" w:hAnsi="Arial"/>
          <w:b w:val="true"/>
          <w:sz w:val="30"/>
        </w:rPr>
        <w:t>DSP切换策略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2.4.1.1 </w:t>
      </w:r>
      <w:r>
        <w:rPr>
          <w:rFonts w:eastAsia="等线" w:ascii="Arial" w:cs="Arial" w:hAnsi="Arial"/>
          <w:b w:val="true"/>
          <w:sz w:val="28"/>
        </w:rPr>
        <w:t>As-Is DSP  Flow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订货：11:00-13:00，周日不订货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落单：第二天8:00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收货：订货+1 日航；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特殊点：</w:t>
      </w:r>
      <w:r>
        <w:rPr>
          <w:rFonts w:eastAsia="等线" w:ascii="Arial" w:cs="Arial" w:hAnsi="Arial"/>
          <w:sz w:val="22"/>
        </w:rPr>
        <w:t>周六订的，分周日和周一两次收货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1005"/>
        <w:gridCol w:w="1215"/>
        <w:gridCol w:w="1065"/>
        <w:gridCol w:w="1065"/>
        <w:gridCol w:w="1065"/>
        <w:gridCol w:w="1110"/>
        <w:gridCol w:w="990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Monday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Tuesday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Wensday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Thursday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Friday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Satday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Sunday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11:00-13:00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noon </w:t>
            </w:r>
            <w:r>
              <w:rPr>
                <w:rFonts w:eastAsia="等线" w:ascii="Arial" w:cs="Arial" w:hAnsi="Arial"/>
                <w:sz w:val="22"/>
              </w:rPr>
              <w:t>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2.4.1.2 </w:t>
      </w:r>
      <w:r>
        <w:rPr>
          <w:rFonts w:eastAsia="等线" w:ascii="Arial" w:cs="Arial" w:hAnsi="Arial"/>
          <w:b w:val="true"/>
          <w:sz w:val="28"/>
        </w:rPr>
        <w:t>DSP切换策略简介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针对待切换门店（切换标识），MMDS从D-2开始，把dsp order file放到RTA ftp上，RTA也从D-2开始集成DSP order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门店切换后开始在RTA OS APP进行收货和订货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切换后D+2将未收货的订单进行关单（处理已在legacy收货的订单）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2.4.2 </w:t>
      </w:r>
      <w:r>
        <w:rPr>
          <w:rFonts w:eastAsia="等线" w:ascii="Arial" w:cs="Arial" w:hAnsi="Arial"/>
          <w:b w:val="true"/>
          <w:sz w:val="30"/>
        </w:rPr>
        <w:t>STO切换策略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2.4.2.1 </w:t>
      </w:r>
      <w:r>
        <w:rPr>
          <w:rFonts w:eastAsia="等线" w:ascii="Arial" w:cs="Arial" w:hAnsi="Arial"/>
          <w:b w:val="true"/>
          <w:sz w:val="28"/>
        </w:rPr>
        <w:t>As-Is STO  Flow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DSP to Chill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订货：11:00-13:00；</w:t>
      </w:r>
      <w:r>
        <w:rPr>
          <w:rFonts w:eastAsia="等线" w:ascii="Arial" w:cs="Arial" w:hAnsi="Arial"/>
          <w:color w:val="d83931"/>
          <w:sz w:val="22"/>
        </w:rPr>
        <w:t>周五不订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落单：当天</w:t>
      </w:r>
      <w:r>
        <w:rPr>
          <w:rFonts w:eastAsia="等线" w:ascii="Arial" w:cs="Arial" w:hAnsi="Arial"/>
          <w:color w:val="d83931"/>
          <w:sz w:val="22"/>
        </w:rPr>
        <w:t>21:00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收货：订货+1/+2 夜航；订货+2/+3  日航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T+1 DSP to Chill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1080"/>
        <w:gridCol w:w="1215"/>
        <w:gridCol w:w="1005"/>
        <w:gridCol w:w="1065"/>
        <w:gridCol w:w="1065"/>
        <w:gridCol w:w="1005"/>
        <w:gridCol w:w="100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Monday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Tuesday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Wensday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Thursday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Friday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Satday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Sunday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11:00-13:00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夜航门店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日航门店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T+2 DSP to Chill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1080"/>
        <w:gridCol w:w="1215"/>
        <w:gridCol w:w="1005"/>
        <w:gridCol w:w="1065"/>
        <w:gridCol w:w="1065"/>
        <w:gridCol w:w="1005"/>
        <w:gridCol w:w="100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Monday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Tuesday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Wensday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Thursday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Friday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Satday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Sunday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11:00-13:00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夜航门店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日航门店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订货：11:00-18:00；周五不订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落单：当天21:00</w:t>
        <w:br/>
      </w:r>
      <w:r>
        <w:rPr>
          <w:rFonts w:eastAsia="等线" w:ascii="Arial" w:cs="Arial" w:hAnsi="Arial"/>
          <w:sz w:val="22"/>
        </w:rPr>
        <w:t>收货：订货+1 夜航；订货+2  日航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1080"/>
        <w:gridCol w:w="1215"/>
        <w:gridCol w:w="1005"/>
        <w:gridCol w:w="1065"/>
        <w:gridCol w:w="1065"/>
        <w:gridCol w:w="1005"/>
        <w:gridCol w:w="100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Monday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Tuesday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Wensday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Thursday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Friday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Satday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Sunday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11:00-18:00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夜航门店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日航门店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订货：11:00-18:00；周日不订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落单：第二天10:00</w:t>
        <w:br/>
      </w:r>
      <w:r>
        <w:rPr>
          <w:rFonts w:eastAsia="等线" w:ascii="Arial" w:cs="Arial" w:hAnsi="Arial"/>
          <w:sz w:val="22"/>
        </w:rPr>
        <w:t>收货：周一/周二/周三：订货+2 夜航；订货+3  日航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周四/周五/周六：订货+3 夜航；订货+4  日航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1080"/>
        <w:gridCol w:w="1215"/>
        <w:gridCol w:w="1005"/>
        <w:gridCol w:w="1065"/>
        <w:gridCol w:w="1065"/>
        <w:gridCol w:w="1005"/>
        <w:gridCol w:w="100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Monday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Tuesday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Wensday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Thursday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Friday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Satday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Sunday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11:00-18:00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 / 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夜航门店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Night Receving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日航门店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Noon Receving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Allocation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分货：时间不定，基本每周一次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落单：</w:t>
      </w:r>
      <w:r>
        <w:rPr>
          <w:rFonts w:eastAsia="等线" w:ascii="Arial" w:cs="Arial" w:hAnsi="Arial"/>
          <w:color w:val="d83931"/>
          <w:sz w:val="22"/>
        </w:rPr>
        <w:t xml:space="preserve">10点/21点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收货：时间不定，一般是三四天内收货，也可能一两周后才收货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从WMS获取门店1260最近一年的分货STO数据，生单后4天内出库的占比98.7%；3天内出库占比：98.6%；2天内出库占比：86.0%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2.4.2.2 </w:t>
      </w:r>
      <w:r>
        <w:rPr>
          <w:rFonts w:eastAsia="等线" w:ascii="Arial" w:cs="Arial" w:hAnsi="Arial"/>
          <w:b w:val="true"/>
          <w:sz w:val="28"/>
        </w:rPr>
        <w:t>STO切换策略简介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门店订货STO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针对待切换门店（切换标识），RTA从D-4开始，开始对接中间层取STO file，进行落单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门店切换后开始在RTA OS APP进行收货和订货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切换后D+4将未收货的订单进行关单（处理已在legacy收货的订单）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2.4.3 </w:t>
      </w:r>
      <w:r>
        <w:rPr>
          <w:rFonts w:eastAsia="等线" w:ascii="Arial" w:cs="Arial" w:hAnsi="Arial"/>
          <w:b w:val="true"/>
          <w:sz w:val="30"/>
        </w:rPr>
        <w:t>Vansales切换策略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上线后核对Vendor街货标识是否准确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切换前到店的街货送货，在legacy里完成收货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切换后到店的街货送货，在RTA OS APP进行收货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待确认：MMDS是否能兼容处理DSP收货和Vansale回传的两份数据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已确认无问题：Ming gor反馈MMDS支持同一天接收多份相同名称的文件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2.4.4 </w:t>
      </w:r>
      <w:r>
        <w:rPr>
          <w:rFonts w:eastAsia="等线" w:ascii="Arial" w:cs="Arial" w:hAnsi="Arial"/>
          <w:b w:val="true"/>
          <w:sz w:val="30"/>
        </w:rPr>
        <w:t>退货切换策</w:t>
      </w:r>
      <w:r>
        <w:rPr>
          <w:rFonts w:eastAsia="等线" w:ascii="Arial" w:cs="Arial" w:hAnsi="Arial"/>
          <w:b w:val="true"/>
          <w:sz w:val="30"/>
        </w:rPr>
        <w:t>略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门店在切换前尽量把该退的商品都退出去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切换前已发起的退货/授权退货，都在legacy里完成发货；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切换后在RTA里发起新的退货/授权退货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注：在RTA创建的授权退货，退货门店选择全部门店，任务开始时会对之前已切换的门店都生成退货任务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例：7/12前已切换门店：A、B、C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7/12创建授权退货计划，选择生效“全部门店”，开始时间为7/19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7/19前又新增切换门店：D、E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在7/19授权计划生效时，A、B、C、D、E门店均可在RTA操作退货，其余未切换门店不行。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2.4.5 </w:t>
      </w:r>
      <w:r>
        <w:rPr>
          <w:rFonts w:eastAsia="等线" w:ascii="Arial" w:cs="Arial" w:hAnsi="Arial"/>
          <w:b w:val="true"/>
          <w:sz w:val="30"/>
        </w:rPr>
        <w:t>IBT&amp;库调切换策略</w:t>
      </w:r>
      <w:bookmarkEnd w:id="1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普通IBT订单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切换前的IBT订单在Legacy 中完成发货和收货，切换后在RTA OS中创建新的IBT。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ISP门店与RTA OS 门店不能创建IBT,若需要跨系统IBT建议进行库调。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Pre-order IBT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打开店务标识：ISP 虚拟 store 调拨到实体门店，Pre-order IBT order 同步到RTA OS，需要在RTA中创建虚拟门店，并打开虚拟门店店务切换标识。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RTA IBT out不集成到MMDS：虚拟门店店务切换标识打开后，门店user无虚拟门店店务操作权限，虚拟门店店务只有IBT OUT发生，且不会同步到MMDS。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切换日Day-1的Pre-order IBT不同步RTA Store Ops。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 xml:space="preserve">门店库存切换策略 </w:t>
      </w:r>
      <w:r>
        <w:rPr>
          <w:rFonts w:eastAsia="等线" w:ascii="Arial" w:cs="Arial" w:hAnsi="Arial"/>
          <w:b w:val="true"/>
          <w:color w:val="3370ff"/>
          <w:sz w:val="32"/>
        </w:rPr>
        <w:t>@乃学南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2.5.1 </w:t>
      </w:r>
      <w:r>
        <w:rPr>
          <w:rFonts w:eastAsia="等线" w:ascii="Arial" w:cs="Arial" w:hAnsi="Arial"/>
          <w:b w:val="true"/>
          <w:sz w:val="30"/>
        </w:rPr>
        <w:t>切换步骤Switchover Step</w:t>
      </w:r>
      <w:bookmarkEnd w:id="1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Store Ops切换门店已切换到RTA POS。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Inventory Switchover Step </w:t>
            </w:r>
            <w:r>
              <w:rPr>
                <w:rFonts w:eastAsia="等线" w:ascii="Arial" w:cs="Arial" w:hAnsi="Arial"/>
                <w:b w:val="true"/>
                <w:color w:val="3370ff"/>
                <w:sz w:val="22"/>
              </w:rPr>
              <w:t>@彭尘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28 Aug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7:30 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Inventory Mgt </w:t>
            </w:r>
            <w:r>
              <w:rPr>
                <w:rFonts w:eastAsia="等线" w:ascii="Arial" w:cs="Arial" w:hAnsi="Arial"/>
                <w:b w:val="true"/>
                <w:color w:val="3370ff"/>
                <w:sz w:val="22"/>
              </w:rPr>
              <w:t>@竹洪鑫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拦截所有库存变动记账(销售、店务).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ISP inventory file 正常同步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28 Aug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21:30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Inventory Mgt </w:t>
            </w:r>
            <w:r>
              <w:rPr>
                <w:rFonts w:eastAsia="等线" w:ascii="Arial" w:cs="Arial" w:hAnsi="Arial"/>
                <w:b w:val="true"/>
                <w:color w:val="3370ff"/>
                <w:sz w:val="22"/>
              </w:rPr>
              <w:t>@竹洪鑫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关闭ISP Inventory File 同步任务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28 Aug 23:30 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Inventory Mgt</w:t>
            </w:r>
            <w:r>
              <w:rPr>
                <w:rFonts w:eastAsia="等线" w:ascii="Arial" w:cs="Arial" w:hAnsi="Arial"/>
                <w:b w:val="true"/>
                <w:color w:val="3370ff"/>
                <w:sz w:val="22"/>
              </w:rPr>
              <w:t>@竹洪鑫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清理库存中台历史库存数据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29 Aug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8:30-9:30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Inventory Mgt</w:t>
            </w:r>
            <w:r>
              <w:rPr>
                <w:rFonts w:eastAsia="等线" w:ascii="Arial" w:cs="Arial" w:hAnsi="Arial"/>
                <w:b w:val="true"/>
                <w:color w:val="3370ff"/>
                <w:sz w:val="22"/>
              </w:rPr>
              <w:t>@竹洪鑫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step1：Loading MMDS opening file。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step2：校验数据，关闭切换门店Opening File 同步任务。--9:30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step3：开放记账，接入28日 7:30以后所有库存变动单据(sale 和店务)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29 Aug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9:00-10:00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Inventory Mgt</w:t>
            </w:r>
            <w:r>
              <w:rPr>
                <w:rFonts w:eastAsia="等线" w:ascii="Arial" w:cs="Arial" w:hAnsi="Arial"/>
                <w:b w:val="true"/>
                <w:color w:val="3370ff"/>
                <w:sz w:val="22"/>
              </w:rPr>
              <w:t>@竹洪鑫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 Opening file ，库存流水。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输出 ILS文件 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29 Aug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10:00-12:00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Inventory Mgt&amp;Adj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输出 A1+A2 销售数据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@邱应华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基于A1 Store Ops Adj 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@熊岑晨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2.5.2 </w:t>
      </w:r>
      <w:r>
        <w:rPr>
          <w:rFonts w:eastAsia="等线" w:ascii="Arial" w:cs="Arial" w:hAnsi="Arial"/>
          <w:b w:val="true"/>
          <w:sz w:val="30"/>
        </w:rPr>
        <w:t>业务影响Business Impact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505"/>
        <w:gridCol w:w="447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拦截所有库存变动记账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拦截包含销售库存扣减，店务库存管理等。 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库存初始化后，开放POS EOD后的单据记账。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Day1切换期间的库存变动只会整点(ISP 8/12/16/20/24)更新，不含店务库存。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初始化后可能遗漏EOD-7:30的sale oder 的库存扣减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bookmarkEnd w:id="2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配置和数据准备清单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14005">
    <w:lvl>
      <w:numFmt w:val="bullet"/>
      <w:suff w:val="tab"/>
      <w:lvlText w:val="•"/>
      <w:rPr>
        <w:color w:val="3370ff"/>
      </w:rPr>
    </w:lvl>
  </w:abstractNum>
  <w:abstractNum w:abstractNumId="314006">
    <w:lvl>
      <w:numFmt w:val="bullet"/>
      <w:suff w:val="tab"/>
      <w:lvlText w:val="•"/>
      <w:rPr>
        <w:color w:val="3370ff"/>
      </w:rPr>
    </w:lvl>
  </w:abstractNum>
  <w:abstractNum w:abstractNumId="314007">
    <w:lvl>
      <w:numFmt w:val="bullet"/>
      <w:suff w:val="tab"/>
      <w:lvlText w:val="•"/>
      <w:rPr>
        <w:color w:val="3370ff"/>
      </w:rPr>
    </w:lvl>
  </w:abstractNum>
  <w:abstractNum w:abstractNumId="314008">
    <w:lvl>
      <w:numFmt w:val="bullet"/>
      <w:suff w:val="tab"/>
      <w:lvlText w:val="￮"/>
      <w:rPr>
        <w:color w:val="3370ff"/>
      </w:rPr>
    </w:lvl>
  </w:abstractNum>
  <w:abstractNum w:abstractNumId="314009">
    <w:lvl>
      <w:numFmt w:val="bullet"/>
      <w:suff w:val="tab"/>
      <w:lvlText w:val="￮"/>
      <w:rPr>
        <w:color w:val="3370ff"/>
      </w:rPr>
    </w:lvl>
  </w:abstractNum>
  <w:abstractNum w:abstractNumId="314010">
    <w:lvl>
      <w:numFmt w:val="bullet"/>
      <w:suff w:val="tab"/>
      <w:lvlText w:val="•"/>
      <w:rPr>
        <w:color w:val="3370ff"/>
      </w:rPr>
    </w:lvl>
  </w:abstractNum>
  <w:abstractNum w:abstractNumId="314011">
    <w:lvl>
      <w:numFmt w:val="bullet"/>
      <w:suff w:val="tab"/>
      <w:lvlText w:val="￮"/>
      <w:rPr>
        <w:color w:val="3370ff"/>
      </w:rPr>
    </w:lvl>
  </w:abstractNum>
  <w:abstractNum w:abstractNumId="314012">
    <w:lvl>
      <w:numFmt w:val="bullet"/>
      <w:suff w:val="tab"/>
      <w:lvlText w:val="￮"/>
      <w:rPr>
        <w:color w:val="3370ff"/>
      </w:rPr>
    </w:lvl>
  </w:abstractNum>
  <w:abstractNum w:abstractNumId="314013">
    <w:lvl>
      <w:numFmt w:val="bullet"/>
      <w:suff w:val="tab"/>
      <w:lvlText w:val="￮"/>
      <w:rPr>
        <w:color w:val="3370ff"/>
      </w:rPr>
    </w:lvl>
  </w:abstractNum>
  <w:abstractNum w:abstractNumId="314014">
    <w:lvl>
      <w:numFmt w:val="bullet"/>
      <w:suff w:val="tab"/>
      <w:lvlText w:val="•"/>
      <w:rPr>
        <w:color w:val="3370ff"/>
      </w:rPr>
    </w:lvl>
  </w:abstractNum>
  <w:abstractNum w:abstractNumId="314015">
    <w:lvl>
      <w:numFmt w:val="bullet"/>
      <w:suff w:val="tab"/>
      <w:lvlText w:val="•"/>
      <w:rPr>
        <w:color w:val="3370ff"/>
      </w:rPr>
    </w:lvl>
  </w:abstractNum>
  <w:abstractNum w:abstractNumId="314016">
    <w:lvl>
      <w:numFmt w:val="bullet"/>
      <w:suff w:val="tab"/>
      <w:lvlText w:val="•"/>
      <w:rPr>
        <w:color w:val="3370ff"/>
      </w:rPr>
    </w:lvl>
  </w:abstractNum>
  <w:abstractNum w:abstractNumId="314017">
    <w:lvl>
      <w:numFmt w:val="bullet"/>
      <w:suff w:val="tab"/>
      <w:lvlText w:val="•"/>
      <w:rPr>
        <w:color w:val="3370ff"/>
      </w:rPr>
    </w:lvl>
  </w:abstractNum>
  <w:abstractNum w:abstractNumId="314018">
    <w:lvl>
      <w:numFmt w:val="bullet"/>
      <w:suff w:val="tab"/>
      <w:lvlText w:val="•"/>
      <w:rPr>
        <w:color w:val="3370ff"/>
      </w:rPr>
    </w:lvl>
  </w:abstractNum>
  <w:abstractNum w:abstractNumId="314019">
    <w:lvl>
      <w:numFmt w:val="bullet"/>
      <w:suff w:val="tab"/>
      <w:lvlText w:val="•"/>
      <w:rPr>
        <w:color w:val="3370ff"/>
      </w:rPr>
    </w:lvl>
  </w:abstractNum>
  <w:abstractNum w:abstractNumId="314020">
    <w:lvl>
      <w:numFmt w:val="bullet"/>
      <w:suff w:val="tab"/>
      <w:lvlText w:val="•"/>
      <w:rPr>
        <w:color w:val="3370ff"/>
      </w:rPr>
    </w:lvl>
  </w:abstractNum>
  <w:abstractNum w:abstractNumId="314021">
    <w:lvl>
      <w:numFmt w:val="bullet"/>
      <w:suff w:val="tab"/>
      <w:lvlText w:val="￮"/>
      <w:rPr>
        <w:color w:val="3370ff"/>
      </w:rPr>
    </w:lvl>
  </w:abstractNum>
  <w:abstractNum w:abstractNumId="314022">
    <w:lvl>
      <w:numFmt w:val="bullet"/>
      <w:suff w:val="tab"/>
      <w:lvlText w:val="￮"/>
      <w:rPr>
        <w:color w:val="3370ff"/>
      </w:rPr>
    </w:lvl>
  </w:abstractNum>
  <w:abstractNum w:abstractNumId="314023">
    <w:lvl>
      <w:numFmt w:val="bullet"/>
      <w:suff w:val="tab"/>
      <w:lvlText w:val="•"/>
      <w:rPr>
        <w:color w:val="3370ff"/>
      </w:rPr>
    </w:lvl>
  </w:abstractNum>
  <w:abstractNum w:abstractNumId="314024">
    <w:lvl>
      <w:numFmt w:val="bullet"/>
      <w:suff w:val="tab"/>
      <w:lvlText w:val="￮"/>
      <w:rPr>
        <w:color w:val="3370ff"/>
      </w:rPr>
    </w:lvl>
  </w:abstractNum>
  <w:abstractNum w:abstractNumId="314025">
    <w:lvl>
      <w:numFmt w:val="bullet"/>
      <w:suff w:val="tab"/>
      <w:lvlText w:val="￮"/>
      <w:rPr>
        <w:color w:val="3370ff"/>
      </w:rPr>
    </w:lvl>
  </w:abstractNum>
  <w:abstractNum w:abstractNumId="314026">
    <w:lvl>
      <w:numFmt w:val="bullet"/>
      <w:suff w:val="tab"/>
      <w:lvlText w:val="￮"/>
      <w:rPr>
        <w:color w:val="3370ff"/>
      </w:rPr>
    </w:lvl>
  </w:abstractNum>
  <w:abstractNum w:abstractNumId="314027">
    <w:lvl>
      <w:numFmt w:val="bullet"/>
      <w:suff w:val="tab"/>
      <w:lvlText w:val="•"/>
      <w:rPr>
        <w:color w:val="3370ff"/>
      </w:rPr>
    </w:lvl>
  </w:abstractNum>
  <w:abstractNum w:abstractNumId="314028">
    <w:lvl>
      <w:numFmt w:val="bullet"/>
      <w:suff w:val="tab"/>
      <w:lvlText w:val="￮"/>
      <w:rPr>
        <w:color w:val="3370ff"/>
      </w:rPr>
    </w:lvl>
  </w:abstractNum>
  <w:abstractNum w:abstractNumId="314029">
    <w:lvl>
      <w:numFmt w:val="bullet"/>
      <w:suff w:val="tab"/>
      <w:lvlText w:val="•"/>
      <w:rPr>
        <w:color w:val="3370ff"/>
      </w:rPr>
    </w:lvl>
  </w:abstractNum>
  <w:abstractNum w:abstractNumId="314030">
    <w:lvl>
      <w:numFmt w:val="bullet"/>
      <w:suff w:val="tab"/>
      <w:lvlText w:val="•"/>
      <w:rPr>
        <w:color w:val="3370ff"/>
      </w:rPr>
    </w:lvl>
  </w:abstractNum>
  <w:abstractNum w:abstractNumId="314031">
    <w:lvl>
      <w:numFmt w:val="bullet"/>
      <w:suff w:val="tab"/>
      <w:lvlText w:val="•"/>
      <w:rPr>
        <w:color w:val="3370ff"/>
      </w:rPr>
    </w:lvl>
  </w:abstractNum>
  <w:abstractNum w:abstractNumId="314032">
    <w:lvl>
      <w:numFmt w:val="bullet"/>
      <w:suff w:val="tab"/>
      <w:lvlText w:val="•"/>
      <w:rPr>
        <w:color w:val="3370ff"/>
      </w:rPr>
    </w:lvl>
  </w:abstractNum>
  <w:abstractNum w:abstractNumId="314033">
    <w:lvl>
      <w:numFmt w:val="bullet"/>
      <w:suff w:val="tab"/>
      <w:lvlText w:val="•"/>
      <w:rPr>
        <w:color w:val="3370ff"/>
      </w:rPr>
    </w:lvl>
  </w:abstractNum>
  <w:abstractNum w:abstractNumId="314034">
    <w:lvl>
      <w:numFmt w:val="bullet"/>
      <w:suff w:val="tab"/>
      <w:lvlText w:val="•"/>
      <w:rPr>
        <w:color w:val="3370ff"/>
      </w:rPr>
    </w:lvl>
  </w:abstractNum>
  <w:abstractNum w:abstractNumId="314035">
    <w:lvl>
      <w:numFmt w:val="bullet"/>
      <w:suff w:val="tab"/>
      <w:lvlText w:val="•"/>
      <w:rPr>
        <w:color w:val="3370ff"/>
      </w:rPr>
    </w:lvl>
  </w:abstractNum>
  <w:abstractNum w:abstractNumId="314036">
    <w:lvl>
      <w:numFmt w:val="bullet"/>
      <w:suff w:val="tab"/>
      <w:lvlText w:val="•"/>
      <w:rPr>
        <w:color w:val="3370ff"/>
      </w:rPr>
    </w:lvl>
  </w:abstractNum>
  <w:abstractNum w:abstractNumId="314037">
    <w:lvl>
      <w:numFmt w:val="bullet"/>
      <w:suff w:val="tab"/>
      <w:lvlText w:val="•"/>
      <w:rPr>
        <w:color w:val="3370ff"/>
      </w:rPr>
    </w:lvl>
  </w:abstractNum>
  <w:abstractNum w:abstractNumId="314038">
    <w:lvl>
      <w:numFmt w:val="bullet"/>
      <w:suff w:val="tab"/>
      <w:lvlText w:val="•"/>
      <w:rPr>
        <w:color w:val="3370ff"/>
      </w:rPr>
    </w:lvl>
  </w:abstractNum>
  <w:abstractNum w:abstractNumId="314039">
    <w:lvl>
      <w:numFmt w:val="bullet"/>
      <w:suff w:val="tab"/>
      <w:lvlText w:val="•"/>
      <w:rPr>
        <w:color w:val="3370ff"/>
      </w:rPr>
    </w:lvl>
  </w:abstractNum>
  <w:abstractNum w:abstractNumId="314040">
    <w:lvl>
      <w:numFmt w:val="bullet"/>
      <w:suff w:val="tab"/>
      <w:lvlText w:val="•"/>
      <w:rPr>
        <w:color w:val="3370ff"/>
      </w:rPr>
    </w:lvl>
  </w:abstractNum>
  <w:abstractNum w:abstractNumId="314041">
    <w:lvl>
      <w:numFmt w:val="bullet"/>
      <w:suff w:val="tab"/>
      <w:lvlText w:val="•"/>
      <w:rPr>
        <w:color w:val="3370ff"/>
      </w:rPr>
    </w:lvl>
  </w:abstractNum>
  <w:abstractNum w:abstractNumId="314042">
    <w:lvl>
      <w:numFmt w:val="bullet"/>
      <w:suff w:val="tab"/>
      <w:lvlText w:val="•"/>
      <w:rPr>
        <w:color w:val="3370ff"/>
      </w:rPr>
    </w:lvl>
  </w:abstractNum>
  <w:abstractNum w:abstractNumId="314043">
    <w:lvl>
      <w:numFmt w:val="bullet"/>
      <w:suff w:val="tab"/>
      <w:lvlText w:val="•"/>
      <w:rPr>
        <w:color w:val="3370ff"/>
      </w:rPr>
    </w:lvl>
  </w:abstractNum>
  <w:num w:numId="1">
    <w:abstractNumId w:val="314005"/>
  </w:num>
  <w:num w:numId="2">
    <w:abstractNumId w:val="314006"/>
  </w:num>
  <w:num w:numId="3">
    <w:abstractNumId w:val="314007"/>
  </w:num>
  <w:num w:numId="4">
    <w:abstractNumId w:val="314008"/>
  </w:num>
  <w:num w:numId="5">
    <w:abstractNumId w:val="314009"/>
  </w:num>
  <w:num w:numId="6">
    <w:abstractNumId w:val="314010"/>
  </w:num>
  <w:num w:numId="7">
    <w:abstractNumId w:val="314011"/>
  </w:num>
  <w:num w:numId="8">
    <w:abstractNumId w:val="314012"/>
  </w:num>
  <w:num w:numId="9">
    <w:abstractNumId w:val="314013"/>
  </w:num>
  <w:num w:numId="10">
    <w:abstractNumId w:val="314014"/>
  </w:num>
  <w:num w:numId="11">
    <w:abstractNumId w:val="314015"/>
  </w:num>
  <w:num w:numId="12">
    <w:abstractNumId w:val="314016"/>
  </w:num>
  <w:num w:numId="13">
    <w:abstractNumId w:val="314017"/>
  </w:num>
  <w:num w:numId="14">
    <w:abstractNumId w:val="314018"/>
  </w:num>
  <w:num w:numId="15">
    <w:abstractNumId w:val="314019"/>
  </w:num>
  <w:num w:numId="16">
    <w:abstractNumId w:val="314020"/>
  </w:num>
  <w:num w:numId="17">
    <w:abstractNumId w:val="314021"/>
  </w:num>
  <w:num w:numId="18">
    <w:abstractNumId w:val="314022"/>
  </w:num>
  <w:num w:numId="19">
    <w:abstractNumId w:val="314023"/>
  </w:num>
  <w:num w:numId="20">
    <w:abstractNumId w:val="314024"/>
  </w:num>
  <w:num w:numId="21">
    <w:abstractNumId w:val="314025"/>
  </w:num>
  <w:num w:numId="22">
    <w:abstractNumId w:val="314026"/>
  </w:num>
  <w:num w:numId="23">
    <w:abstractNumId w:val="314027"/>
  </w:num>
  <w:num w:numId="24">
    <w:abstractNumId w:val="314028"/>
  </w:num>
  <w:num w:numId="25">
    <w:abstractNumId w:val="314029"/>
  </w:num>
  <w:num w:numId="26">
    <w:abstractNumId w:val="314030"/>
  </w:num>
  <w:num w:numId="27">
    <w:abstractNumId w:val="314031"/>
  </w:num>
  <w:num w:numId="28">
    <w:abstractNumId w:val="314032"/>
  </w:num>
  <w:num w:numId="29">
    <w:abstractNumId w:val="314033"/>
  </w:num>
  <w:num w:numId="30">
    <w:abstractNumId w:val="314034"/>
  </w:num>
  <w:num w:numId="31">
    <w:abstractNumId w:val="314035"/>
  </w:num>
  <w:num w:numId="32">
    <w:abstractNumId w:val="314036"/>
  </w:num>
  <w:num w:numId="33">
    <w:abstractNumId w:val="314037"/>
  </w:num>
  <w:num w:numId="34">
    <w:abstractNumId w:val="314038"/>
  </w:num>
  <w:num w:numId="35">
    <w:abstractNumId w:val="314039"/>
  </w:num>
  <w:num w:numId="36">
    <w:abstractNumId w:val="314040"/>
  </w:num>
  <w:num w:numId="37">
    <w:abstractNumId w:val="314041"/>
  </w:num>
  <w:num w:numId="38">
    <w:abstractNumId w:val="314042"/>
  </w:num>
  <w:num w:numId="39">
    <w:abstractNumId w:val="3140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numbering.xml" Type="http://schemas.openxmlformats.org/officeDocument/2006/relationships/numbering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2026-03-26T03:26:58Z</dcterms:created>
  <dc:creator>Apache POI</dc:creator>
</cp:coreProperties>
</file>