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rFonts w:ascii="Arial" w:eastAsia="Microsoft YaHei" w:hAnsi="Arial"/>
          <w:color w:val="1A5276"/>
          <w:sz w:val="72"/>
          <w:szCs w:val="72"/>
        </w:rPr>
        <w:t xml:space="preserve">智论平台</w:t>
      </w:r>
    </w:p>
    <w:p>
      <w:pPr>
        <w:spacing w:after="300"/>
        <w:jc w:val="center"/>
      </w:pPr>
      <w:r>
        <w:rPr>
          <w:rFonts w:ascii="Arial" w:eastAsia="Microsoft YaHei" w:hAnsi="Arial"/>
          <w:color w:val="2E86C1"/>
          <w:sz w:val="56"/>
          <w:szCs w:val="56"/>
        </w:rPr>
        <w:t xml:space="preserve">技术方案</w:t>
      </w:r>
    </w:p>
    <w:p>
      <w:pPr>
        <w:spacing w:after="600"/>
        <w:jc w:val="center"/>
      </w:pPr>
      <w:r>
        <w:rPr>
          <w:rFonts w:ascii="Arial" w:eastAsia="Microsoft YaHei" w:hAnsi="Arial"/>
          <w:i/>
          <w:iCs/>
          <w:color w:val="5D6D7E"/>
          <w:sz w:val="28"/>
          <w:szCs w:val="28"/>
        </w:rPr>
        <w:t xml:space="preserve">Technical Solution Document</w:t>
      </w:r>
    </w:p>
    <w:p>
      <w:pPr>
        <w:spacing w:after="1000"/>
      </w:pPr>
    </w:p>
    <w:p>
      <w:pPr>
        <w:spacing w:after="10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color w:val="7F8C8D"/>
          <w:sz w:val="24"/>
          <w:szCs w:val="24"/>
        </w:rPr>
        <w:t xml:space="preserve">日期：2026年5月</w:t>
      </w:r>
    </w:p>
    <w:p>
      <w:pPr>
        <w:jc w:val="center"/>
      </w:pPr>
      <w:r>
        <w:rPr>
          <w:rFonts w:ascii="Arial" w:eastAsia="Microsoft YaHei" w:hAnsi="Arial"/>
          <w:color w:val="2E86C1"/>
          <w:sz w:val="22"/>
          <w:szCs w:val="22"/>
        </w:rPr>
        <w:t xml:space="preserve">配套文档：《智论平台_产品方案_V1.0》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目录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前言：文档说明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第一篇 技术架构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第1章 技术架构总览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第2章 核心技术模块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第二篇 云服务与成本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第3章 云服务API选型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第4章 成本预算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第三篇 Agent团队与协作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第5章 Agent团队配置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第6章 Agent协作机制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第四篇 Trae IDE开发工作流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第7章 Trae IDE配置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第五篇 实施路线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第8章 分阶段实施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第9章 引用功能开发计划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第六篇 Figma技术实施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第10章 Figma项目搭建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第11章 设计Token导出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第七篇 风险与应对</w:t>
      </w:r>
    </w:p>
    <w:p>
      <w:pPr>
        <w:spacing w:after="80" w:line="360"/>
        <w:ind w:left="400"/>
      </w:pPr>
      <w:r>
        <w:rPr>
          <w:rFonts w:ascii="Arial" w:eastAsia="Microsoft YaHei" w:hAnsi="Arial"/>
          <w:color w:val="5D6D7E"/>
          <w:sz w:val="22"/>
          <w:szCs w:val="22"/>
        </w:rPr>
        <w:t xml:space="preserve">第12-14章 风险管理</w:t>
      </w:r>
    </w:p>
    <w:p>
      <w:pPr>
        <w:spacing w:after="80" w:line="360"/>
      </w:pPr>
      <w:r>
        <w:rPr>
          <w:rFonts w:ascii="Arial" w:eastAsia="Microsoft YaHei" w:hAnsi="Arial"/>
          <w:color w:val="2C3E50"/>
          <w:sz w:val="24"/>
          <w:szCs w:val="24"/>
        </w:rPr>
        <w:t xml:space="preserve">附录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前言：文档说明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文档定位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本文档是智论平台的技术方案，面向开发、架构、运维人员，涵盖技术架构、云服务选型、Agent团队配置、实施路线等内容。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配套文档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本文档与《智论平台_产品方案_V1.0》配套使用，两份文档相互索引，形成完整的产品技术方案体系。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文档索引表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本方案章节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产品方案对应章节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内容关联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第1章 技术架构总览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第1-2章 产品概述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技术架构支撑产品架构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第2章 核心技术模块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第3章 核心功能需求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技术实现支撑功能需求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第3-4章 云服务与成本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产品运营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成本支撑商业模式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第9章 引用功能开发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第5章 引用文献标准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技术实现支撑引用规范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Figma实施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第6-9章 视觉设计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技术交付支撑设计落地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第一篇 技术架构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第1章 技术架构总览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1.1 技术架构设计原则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云服务优先：所有AI能力通过API调用，零GPU服务器投入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微服务架构：模块解耦，独立部署，弹性扩展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弹性扩展：按需扩缩容，应对流量波动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安全合规：数据加密、访问控制、审计日志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1.2 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云服务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SSR支持SEO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阿里云函数计算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轻量高效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阿里云RDS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托管免运维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向量库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RDS插件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无需额外服务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MinIO API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阿里云OSS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文档图片存储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AI模型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多API聚合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DeepSeek/硅基流动/Azure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按token计费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1.3 系统架构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五层架构设计：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接入层：CDN、API Gateway、负载均衡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应用层：前端应用、后端服务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服务层：AI服务、引用服务、图表服务、存储服务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数据层：关系数据库、向量数据库、缓存、对象存储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基础设施层：云服务、监控、日志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第2章 核心技术模块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2.1 AI论文去重模块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技术原理：基于语义理解的文本改写，保留原意的同时降低重复率。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分句分词：中文分词、句子边界识别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语义理解：BERT嵌入、语义相似度计算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改写生成：同义替换、句式重组、段落重构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降重率预估：基于检测算法模拟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对应产品方案第3.1章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2.2 AIGC降痕模块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检测原理：基于perplexity（困惑度）和burstiness（突发性）分析。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Perplexity分析：AI生成文本困惑度较低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Burstiness分析：AI生成文本句式更均匀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对抗改写：引入随机性、增加句式变化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多轮优化：迭代改写直到检测率达标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对应产品方案第3.1章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2.3 知识库RAG模块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RAG（检索增强生成）架构：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文档解析：PDF/Word解析、OCR识别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分块策略：按段落/按语义分块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向量化：BGE-M3嵌入模型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索引存储：pgvector向量索引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检索增强：相似度检索 + LLM生成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对应产品方案第3.2章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2.4 图表生成模块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流程图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模板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Mermaid/Draw.io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架构图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模板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Mermaid/PlantUML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CAD图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导入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DXF解析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统计图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数据导入生成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ECharts/AntV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思维导图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AI生成 + 手动编辑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自定义SVG</w:t>
            </w:r>
          </w:p>
        </w:tc>
      </w:tr>
    </w:tbl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对应产品方案第3.3章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2.5 引用格式引擎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三层架构设计：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数据层：文献元数据存储（PostgreSQL）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规则层：格式模板与条件逻辑（可配置）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渲染层：引文生成与格式化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对应产品方案第5章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第二篇 云服务与成本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第3章 云服务API选型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3.1 LLM API服务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输入价格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输出价格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DeepSeek-V3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¥8/百万token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主力模型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Qwen2.5-72B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¥1.5/百万token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¥6/百万token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高性价比备选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$5/百万token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$15/百万token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复杂推理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$3/百万token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$15/百万token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长文本处理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3.2 嵌入模型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维度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BGE-M3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¥0.5/百万token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DeepSeek-Embedding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¥0.5/百万token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text-embedding-3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$0.13/百万token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3072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3.3 图像生成模型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服务商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硅基流动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Stable Diffusion 3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¥0.08/张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论文配图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百度千帆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文心一格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¥0.1/张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中文场景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通义万相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¥0.12/张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国内稳定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3.4 基础设施服务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服务类型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月费用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阿里云函数计算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按调用计费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¥50-200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2核4G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1G主从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OSS对象存储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100GB流量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团队版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¥140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域名+SSL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通配符证书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</w:t>
            </w:r>
          </w:p>
        </w:tc>
      </w:tr>
    </w:tbl>
    <w:r>
      <w:br w:type="page"/>
    </w:r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第4章 成本预算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4.1 开发阶段成本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云服务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API调用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第一阶段：MVP验证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第二阶段：核心功能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¥800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第三阶段：产品化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¥700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开发阶段合计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4.2 运营成本（月度）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基础版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增长版(1000用户)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规模版(1万用户)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云服务器/函数计算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数据库RDS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¥400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¥1200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Redis缓存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¥800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对象存储OSS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CDN流量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¥800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¥140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¥280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¥560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LLM API调用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¥12000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嵌入模型API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图像生成API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月度合计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¥1025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¥3930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¥22660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4.3 收入预测与盈亏平衡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月均收入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月均成本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月利润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回本周期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100付费用户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¥1025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¥1975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1个月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500付费用户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¥15000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¥3930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¥11070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已盈利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2000付费用户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¥60000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¥22660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¥37340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已盈利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第三篇 Agent团队与协作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第5章 Agent团队配置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5.1 Agent角色定义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作为个人开发者，您将与8个专业Agent协作完成开发。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Agent名称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角色定位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协作频率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ArchitectAgent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系统架构师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技术选型、架构设计、代码审查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后端开发专家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API设计、数据库、业务逻辑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FrontendAgent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前端开发专家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UI实现、交互逻辑、性能优化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AI算法工程师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Prompt工程、RAG、模型调优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运维工程师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部署、监控、CI/CD配置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每周2-3次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TestAgent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测试用例、自动化测试、Bug分析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每周2-3次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ProductAgent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需求分析、PRD撰写、优先级排序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每周1次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UXAgent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UX设计师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交互设计、用户体验优化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每周1次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5.2 ArchitectAgent System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你是智论平台的系统架构师Agent，负责：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1. 技术选型决策与架构设计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2. 代码审查与质量把控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3. 技术债务识别与重构建议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输出规范：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所有技术方案必须包含：架构图描述、技术选型理由、风险评估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代码审查必须标注：严重/警告/建议三级问题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使用中文回复，技术术语保留英文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5.3 BackendAgent System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你是智论平台的后端开发专家Agent，专精于：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1. Node.js + TypeScript + Fastify 技术栈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2. PostgreSQL数据库设计与优化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3. RESTful API设计与实现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编码规范：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严格使用TypeScript，禁止any类型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所有API必须包含OpenAPI文档注释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数据库操作必须使用参数化查询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5.4 AIEngineerAgent System Prompt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你是智论平台的AI算法工程师Agent，专精于：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1. 大语言模型Prompt工程与优化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2. RAG（检索增强生成）系统实现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3. AIGC检测与去痕算法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核心能力：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熟悉CNKI、维普、万方等检测系统原理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掌握perplexity、bustiness等检测指标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能够设计对抗性改写策略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5.5 新增CitationAgent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专门负责引用格式处理，支持GB/T 7714、APA、MLA、Chicago等格式。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你是智论平台的引用格式专家Agent，负责：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1. 文献元数据解析与补全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2. 多格式引用生成（GB/T 7714、APA、MLA、Chicago）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3. 引用一致性校验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核心能力：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精通GB/T 7714-2015规范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支持中英文混排处理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 自动检测常见格式错误</w:t>
            </w:r>
          </w:p>
        </w:tc>
      </w:tr>
    </w:tbl>
    <w:r>
      <w:br w:type="page"/>
    </w:r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第6章 Agent协作机制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6.1 协作协议定义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interface AgentMessage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from: AgentRole;           // 发送方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to: AgentRole | "human";   // 接收方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type: MessageType;         // 消息类型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payload: any;              // 消息内容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context: TaskContext;      // 任务上下文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6.2 核心工作流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需求到代码工作流：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@ProductAgent 请分析以下需求并输出PRD片段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@ArchitectAgent 基于上述PRD，请设计技术方案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@BackendAgent 请实现上述方案的后端代码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@TestAgent 请为上述代码生成测试用例</w:t>
            </w:r>
          </w:p>
        </w:tc>
      </w:tr>
    </w:tbl>
    <w:p>
      <w:pPr>
        <w:spacing w:after="200"/>
      </w:pP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AIGC降痕专项工作流：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@AIEngineerAgent 请设计AIGC检测对抗策略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@BackendAgent 请实现降痕服务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@AIEngineerAgent 请设计检测模拟器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第四篇 Trae IDE开发工作流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第7章 Trae IDE配置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7.1 推荐配置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推荐设置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AI模型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代码理解能力最强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代码补全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实时智能提示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Builder模式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复杂任务使用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多文件代码生成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Chat上下文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保持项目级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Agent能获取完整上下文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代码审查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保存时触发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自动检查代码质量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7.2 日常开发工作流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功能开发流程：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步骤1：需求澄清（5分钟）- @ProductAgent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步骤2：技术设计（10分钟）- @ArchitectAgent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步骤3：代码生成（20分钟）- 使用Trae Builder模式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步骤4：代码审查（10分钟）- @ArchitectAgent @TestAgent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步骤5：测试验证（15分钟）- @TestAgent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7.3 Agent调用模板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// 通用模板格式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@[Agent名称] [指令] [上下文]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// 示例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@BackendAgent 请实现以下API：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POST /api/v1/papers/deduplicate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功能：接收论文文本，返回降重后的文本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第五篇 实施路线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第8章 分阶段实施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8.1 第一阶段：MVP验证（2周）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基础架构搭建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ArchitectAgent + DevOpsAgent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Vercel部署、数据库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¥100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BackendAgent + FrontendAgent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登录/注册/个人中心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简单降重功能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 + BackendAgent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文本改写API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基础UI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FrontendAgent + UXAgent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简洁的操作界面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阶段预算：¥300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8.2 第二阶段：核心功能（3周）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高级降重算法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多轮改写、风格选择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¥500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AIGC检测模拟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检测率预估功能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知识库V1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BackendAgent + AIEngineerAgent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文档上传、基础检索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¥200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付费集成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支付宝/微信支付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阶段预算：¥1000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8.3 第三阶段：产品化（4周）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 + FrontendAgent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流程图/架构图生成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¥400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FrontendAgent + UXAgent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响应式/H5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知识库V2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全Agent协作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RAG增强、引用管理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BackendAgent + FrontendAgent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运营数据分析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阶段预算：¥700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8.4 第四阶段：优化迭代（持续）</w:t>
      </w:r>
    </w:p>
    <w:p>
      <w:pPr>
        <w:spacing w:after="15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月度预算：¥1200/月，包含性能优化、新功能开发、运营支持。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第9章 引用功能开发计划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9.1 引用功能开发阶段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MVP阶段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GB/T 7714基础格式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CitationAgent + BackendAgent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多格式支持+元数据对接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CitationAgent + AIEngineerAgent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产品化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高校模板+智能校验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CitationAgent + ProductAgent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9.2 引用格式引擎架构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数据层：文献元数据存储（PostgreSQL JSONB）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规则层：格式模板配置（YAML/JSON）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渲染层：引文生成器（TypeScript实现）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9.3 引用一致性校验机制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引而未列检测：扫描正文引用，检查参考文献列表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列而未引检测：检查参考文献列表，匹配正文引用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元数据校验：对接Crossref/CNKI验证准确性</w:t>
      </w:r>
    </w:p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第六篇 Figma技术实施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第10章 Figma项目搭建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10.1 Figma项目结构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智论平台 Design System/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├── Foundations/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├── Colors (Variables)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├── Typography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├── Spacing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└── Icons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├── Base/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│   ├── Button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│   ├── Input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│   └── ...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└── Business/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    ├── PaperEditor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    └── ...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├── Pages/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├── Desktop/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│   └── Mobile/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└── Documentation/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10.2 Variables搭建步骤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1: 创建变量集"Brand Colors"，定义原始色值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2: 创建变量集"Semantic Colors"，定义语义色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3: 创建变量集"Typography"，定义字体、字号、行高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4: 创建变量集"Spacing"，定义间距值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5: 创建模式"Light"和"Dark"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6: 发布变量到团队库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10.3 组件库搭建步骤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1: 创建Base Components，使用Auto Layout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2: 定义Component Properties（变体、状态、尺寸）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3: 创建Business Components，组合Base Components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4: 编写组件文档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Step 5: 发布到Team Library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第11章 设计Token导出</w:t>
      </w: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11.1 Token格式（JSON）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"color":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"brand":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"primary": { "value": "#1A5276"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"spacing":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"md": { "value": "16px"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Arial" w:eastAsia="Microsoft YaHei" w:hAnsi="Arial"/>
          <w:color w:val="34495E"/>
          <w:sz w:val="26"/>
          <w:szCs w:val="26"/>
        </w:rPr>
        <w:t xml:space="preserve">11.2 Tailwind CSS格式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module.exports =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theme: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colors: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brand: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  primary: '#1A5276',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  secondary: '#2E86C1',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  accent: '#E67E22'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spacing: {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xs: '4px',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sm: '8px',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  md: '16px'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}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第七篇 风险与应对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第12章 技术风险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应对策略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API服务不稳定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功能不可用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多服务商冗余，自动切换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DevOpsAgent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API成本超支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运营亏损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限流、缓存、用户配额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ArchitectAgent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AIGC检测规则变更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降痕失效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持续监控，算法迭代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AIEngineerAgent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数据安全问题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用户流失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加密存储、访问控制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ArchitectAgent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第13章 业务风险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应对策略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负责Agent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学术伦理争议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法律风险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明确使用边界，提供规范指导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ProductAgent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竞品低价竞争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用户流失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差异化功能，提升体验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ProductAgent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用户增长缓慢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收入不足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优化转化漏斗，口碑传播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ProductAgent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第14章 个人开发者风险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开发进度拖延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错过市场窗口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严格按阶段推进，设定deadline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技术栈不熟悉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开发效率低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优先使用熟悉技术，Agent辅助学习</w:t>
            </w:r>
          </w:p>
        </w:tc>
      </w:tr>
      <w:tr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孤军奋战疲劳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项目放弃</w:t>
            </w:r>
          </w:p>
        </w:tc>
        <w:tc>
          <w:tcPr>
            <w:tcW w:type="dxa" w:w="3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设定小里程碑，及时获取正反馈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rPr>
          <w:rFonts w:ascii="Arial" w:eastAsia="Microsoft YaHei" w:hAnsi="Arial"/>
          <w:color w:val="1A5276"/>
          <w:sz w:val="36"/>
          <w:szCs w:val="36"/>
        </w:rPr>
        <w:t xml:space="preserve">附录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A. API接口清单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/api/v1/papers/deduplicate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论文降重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/api/v1/papers/aigc-detect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AIGC检测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/api/v1/knowledge/upload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知识库上传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/api/v1/knowledge/search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知识库检索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/api/v1/citations/generate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引用生成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/api/v1/charts/generate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图表生成</w:t>
            </w:r>
          </w:p>
        </w:tc>
        <w:tc>
          <w:tcPr>
            <w:tcW w:type="dxa" w:w="23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B. 数据库表结构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-- 用户表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id UUID PRIMARY KEY,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email VARCHAR(255) UNIQUE,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phone VARCHAR(20) UNIQUE,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created_at TIMESTAMP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-- 文献表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CREATE TABLE documents (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id UUID PRIMARY KEY,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user_id UUID REFERENCES users(id),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title VARCHAR(500),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content TEXT,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  embedding VECTOR(1024)</w:t>
            </w:r>
          </w:p>
        </w:tc>
      </w:tr>
      <w:tr>
        <w:tc>
          <w:tcPr>
            <w:tcBorders>
              <w:top w:val="none"/>
              <w:left w:val="single" w:color="2E86C1" w:sz="4"/>
              <w:bottom w:val="none"/>
              <w:right w:val="none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eastAsia="Microsoft YaHei" w:hAnsi="Consolas"/>
                <w:color w:val="2C3E5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C. 与产品方案章节对照表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技术方案章节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color w:val="FFFFFF"/>
                <w:sz w:val="20"/>
                <w:szCs w:val="20"/>
              </w:rPr>
              <w:t xml:space="preserve">产品方案对应章节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第1章 技术架构总览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第1-2章 产品概述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第2章 核心技术模块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第3章 核心功能需求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第3-4章 云服务与成本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产品运营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第9章 引用功能开发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第5章 引用文献标准</w:t>
            </w:r>
          </w:p>
        </w:tc>
      </w:tr>
      <w:tr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第10-11章 Figma实施</w:t>
            </w:r>
          </w:p>
        </w:tc>
        <w:tc>
          <w:tcPr>
            <w:tcW w:type="dxa" w:w="4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第6-9章 视觉设计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eastAsia="Microsoft YaHei" w:hAnsi="Arial"/>
          <w:color w:val="2E86C1"/>
          <w:sz w:val="30"/>
          <w:szCs w:val="30"/>
        </w:rPr>
        <w:t xml:space="preserve">D. 快速启动清单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1. 注册云服务账号：阿里云、硅基流动、Vercel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2. 安装配置Trae IDE，设置AI模型偏好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3. 创建项目GitHub仓库，初始化Next.js项目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4. 配置阿里云函数计算和RDS数据库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5. 在Trae中配置8个Agent的System Prompt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6. 与ProductAgent完成MVP需求梳理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7. 与ArchitectAgent完成技术架构设计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8. 开始第一阶段开发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配套文档：《智论平台_产品方案_V1.0》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智论平台 - 技术方案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2026-05-09T08:16:52.542Z</dcterms:created>
  <dcterms:modified xsi:type="dcterms:W3CDTF">2026-05-09T08:16:52.542Z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