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B111E"/>
        </w:rPr>
        <w:t>THIẾT KẾ KIẾN TRÚC HỆ THỐNG</w:t>
      </w:r>
    </w:p>
    <w:p>
      <w:pPr>
        <w:pStyle w:val="Heading2"/>
      </w:pPr>
      <w:r>
        <w:rPr>
          <w:color w:val="9B111E"/>
        </w:rPr>
        <w:t>Hệ thống website bán hàng thức ăn nhanh — Microservices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Hạng mục</w:t>
            </w:r>
          </w:p>
        </w:tc>
        <w:tc>
          <w:tcPr>
            <w:tcW w:type="dxa" w:w="4873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Nội dung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Phiên bản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2.0 — 23/10/2026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Frontend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Customer: Next.js (App Router, TypeScript) • Quản trị (Staff/Manager/Admin): React SPA (TypeScript, Vite)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Backend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Spring Boot 3, Spring Cloud Gateway, Java 17+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Dữ liệu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PostgreSQL (mỗi service 1 schema/database), Redis, Apache Kafka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Triển khai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Docker + Docker Compose trên VPS, Nginx reverse proxy, HTTPS Let's Encrypt. </w:t>
            </w:r>
            <w:r>
              <w:rPr>
                <w:rFonts w:ascii="Calibri" w:hAnsi="Calibri"/>
                <w:b/>
                <w:sz w:val="19"/>
              </w:rPr>
              <w:t>Không dùng Kubernetes</w:t>
            </w:r>
          </w:p>
        </w:tc>
      </w:tr>
    </w:tbl>
    <w:p/>
    <w:p>
      <w:pPr>
        <w:pStyle w:val="Heading1"/>
      </w:pPr>
      <w:r>
        <w:rPr>
          <w:color w:val="9B111E"/>
        </w:rPr>
        <w:t>1. TỔNG QUAN KIẾN TRÚC</w:t>
      </w:r>
    </w:p>
    <w:p>
      <w:r>
        <w:rPr>
          <w:rFonts w:ascii="Calibri" w:hAnsi="Calibri"/>
          <w:b w:val="0"/>
          <w:sz w:val="22"/>
        </w:rPr>
        <w:t>Hệ thống theo kiến trúc microservices: cả hai frontend (Next.js cho khách hàng, React cho quản trị) đều gọi duy nhất qua API Gateway; Gateway định tuyến tới các backend service; các service giao tiếp đồng bộ bằng REST (khi cần dữ liệu ngay) và bất đồng bộ bằng sự kiện Kafka (khi là hệ quả của một nghiệp vụ: gửi thông báo, cộng điểm, tạo bản ghi giao hàng, báo cáo).</w:t>
      </w:r>
    </w:p>
    <w:p>
      <w:r>
        <w:rPr>
          <w:rFonts w:ascii="Calibri" w:hAnsi="Calibri"/>
          <w:b w:val="0"/>
          <w:sz w:val="22"/>
        </w:rPr>
        <w:t>Nguyên tắc: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Mỗi service sở hữu dữ liệu riêng, không service nào truy cập trực tiếp database của service khác.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Phân quyền RBAC tại Gateway (kiểm tra JWT) và tại từng service (@PreAuthorize + kiểm tra storeId).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Mọi sự kiện nghiệp vụ quan trọng đều có correlation-id để truy vết xuyên service.</w:t>
      </w:r>
    </w:p>
    <w:p>
      <w:pPr>
        <w:pStyle w:val="Heading1"/>
      </w:pPr>
      <w:r>
        <w:rPr>
          <w:color w:val="9B111E"/>
        </w:rPr>
        <w:t>2. DANH SÁCH 8 MICROSERVICE CHÍNH (+ API GATEWAY)</w:t>
      </w:r>
    </w:p>
    <w:p>
      <w:r>
        <w:rPr>
          <w:rFonts w:ascii="Calibri" w:hAnsi="Calibri"/>
          <w:b w:val="0"/>
          <w:sz w:val="22"/>
        </w:rPr>
        <w:t xml:space="preserve">Hệ thống có đúng </w:t>
      </w:r>
      <w:r>
        <w:rPr>
          <w:rFonts w:ascii="Calibri" w:hAnsi="Calibri"/>
          <w:b/>
          <w:sz w:val="22"/>
        </w:rPr>
        <w:t>8 microservice nghiệp vụ chính</w:t>
      </w:r>
      <w:r>
        <w:rPr>
          <w:rFonts w:ascii="Calibri" w:hAnsi="Calibri"/>
          <w:b w:val="0"/>
          <w:sz w:val="22"/>
        </w:rPr>
        <w:t xml:space="preserve"> theo danh sách dưới đây. API Gateway là thành phần hạ tầng ở tầng truy cập (định tuyến, xác thực) và không tính vào 8 service. Chia nhỏ hơn nữa sẽ thành monolith phân mảnh; chia to hơn (13-15 service) vượt quá sức đồ án và nặng VPS.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Service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Trách nhiệm chính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Database</w:t>
            </w:r>
          </w:p>
        </w:tc>
        <w:tc>
          <w:tcPr>
            <w:tcW w:type="dxa" w:w="19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Port nội bộ (gợi ý)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API Gateway</w:t>
            </w:r>
            <w:r>
              <w:rPr>
                <w:rFonts w:ascii="Calibri" w:hAnsi="Calibri"/>
                <w:b w:val="0"/>
                <w:sz w:val="19"/>
              </w:rPr>
              <w:t xml:space="preserve"> (hạ tầng)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Định tuyến, kiểm tra JWT, rate limit, CORS, log request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Identity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Tài khoản Customer/Staff/Manager/Admin/Shipper, RBAC, gán chi nhánh, hồ sơ, sổ địa chỉ, OTP, audit đăng nhập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identity_db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Catalog &amp; Store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Chi nhánh, danh mục, món, combo, topping, giá gốc, menu theo chi nhánh, tình trạng còn/hết, kho cơ bản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catalog_db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Cart &amp; Order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Giỏ hàng (Redis), tạo đơn, trạng thái đơn, hủy đơn, lịch sử, đặt lại đơn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order_db (+ Redis)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Payment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VietQR, webhook SePay/Casso (idempotent, kiểm tra chữ ký), COD, đối chiếu, hoàn tiền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Promotion &amp; Loyalty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Voucher, khuyến mãi, banner, tích/đổi điểm, hạng thành viên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promotion_db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Shipping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MVP: tạo và lưu bản ghi giao hàng, tính phí ship dự kiến, trạng thái CREATED. Phase 2: gán shipper, tracking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shipping_db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949"/>
          </w:tcPr>
          <w:p>
            <w:r>
              <w:t>Notification Service + Mail Sender nội bộ</w:t>
            </w: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1949"/>
          </w:tcPr>
          <w:p>
            <w:r>
              <w:t>Consumer Kafka: Mail Sender Gmail SMTP + thông báo in-app, lưu lịch sử thông báo</w:t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8087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sz w:val="19"/>
              </w:rPr>
              <w:t>Review &amp; Report Service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giá/bình luận, ẩn/phản hồi đánh giá, dashboard, báo cáo doanh thu, xuất Excel/PDF, audit log nghiệp vụ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review_db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sz w:val="19"/>
              </w:rPr>
              <w:t>8088</w:t>
            </w:r>
          </w:p>
        </w:tc>
      </w:tr>
    </w:tbl>
    <w:p/>
    <w:p>
      <w:r>
        <w:rPr>
          <w:rFonts w:ascii="Calibri" w:hAnsi="Calibri"/>
          <w:b w:val="0"/>
          <w:sz w:val="22"/>
        </w:rPr>
        <w:t>Service gộp có chủ đích: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Store gộp vào Catalog vì menu theo chi nhánh và tình trạng món theo chi nhánh luôn truy vấn cùng nhau.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Cart gộp vào Order vì giỏ là tiền thân trực tiếp của đơn và dùng chung logic tính giá.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Review gộp Report vì đều là dữ liệu đọc/tổng hợp, ngoài luồng giao dịch chính.</w:t>
      </w:r>
    </w:p>
    <w:p>
      <w:pPr>
        <w:pStyle w:val="Heading1"/>
      </w:pPr>
      <w:r>
        <w:rPr>
          <w:color w:val="9B111E"/>
        </w:rPr>
        <w:t>3. GIAO TIẾP GIỮA CÁC SERVICE</w:t>
      </w:r>
    </w:p>
    <w:p>
      <w:pPr>
        <w:pStyle w:val="Heading2"/>
      </w:pPr>
      <w:r>
        <w:rPr>
          <w:color w:val="9B111E"/>
        </w:rPr>
        <w:t>3.1. Đồng bộ (REST, qua Gateway hoặc nội bộ)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Luồng</w:t>
            </w:r>
          </w:p>
        </w:tc>
        <w:tc>
          <w:tcPr>
            <w:tcW w:type="dxa" w:w="4873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Next.js → Gateway → Identity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Đăng nhập, lấy thông tin user, kiểm tra quyền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Checkout: Order → Promotion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Tính voucher/điểm áp dụng cho đơn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Checkout: Order → Catalog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Kiểm tra giá và tình trạng bán tại chi nhánh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Checkout: Order → Payment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Tạo yêu cầu thanh toán / QR VietQR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Admin/Manager → Report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19"/>
              </w:rPr>
              <w:t>Truy vấn dashboard/báo cáo (đọc tổng hợp)</w:t>
            </w:r>
          </w:p>
        </w:tc>
      </w:tr>
    </w:tbl>
    <w:p/>
    <w:p>
      <w:pPr>
        <w:pStyle w:val="Heading2"/>
      </w:pPr>
      <w:r>
        <w:rPr>
          <w:color w:val="9B111E"/>
        </w:rPr>
        <w:t>3.2. Bất đồng bộ (Kafka)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Topic</w:t>
            </w:r>
          </w:p>
        </w:tc>
        <w:tc>
          <w:tcPr>
            <w:tcW w:type="dxa" w:w="2436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Producer</w:t>
            </w:r>
          </w:p>
        </w:tc>
        <w:tc>
          <w:tcPr>
            <w:tcW w:type="dxa" w:w="2436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Consumer</w:t>
            </w:r>
          </w:p>
        </w:tc>
        <w:tc>
          <w:tcPr>
            <w:tcW w:type="dxa" w:w="2436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Mục đích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order.created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Notification, Shipping, Review &amp; Report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Báo đơn mới, tạo bản ghi giao hàng, cập nhật thống kê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order.status-changed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Notification, Review &amp; Report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Báo khách khi đơn đổi trạng thái, mở đánh giá khi COMPLETED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payment.confirmed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Order, Notification, Promotion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Chuyển đơn sang CONFIRMED, báo khách, chuẩn bị cộng điểm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payment.failed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Order, Notification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Xử lý hết hạn / sai lệch thanh toán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order.completed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Promotion, Review &amp; Report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Cộng điểm tích lũy, tổng hợp doanh thu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order.cancelled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Cart &amp; Order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Promotion, Payment, Notification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Hoàn lượt voucher/điểm, tạo yêu cầu hoàn tiền nếu đã PAID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promotion.approved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Promotion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Notification, Catalog &amp; Store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sz w:val="19"/>
              </w:rPr>
              <w:t>Kích hoạt khuyến mãi của chi nhánh sau khi Admin duyệt</w:t>
            </w:r>
          </w:p>
        </w:tc>
      </w:tr>
    </w:tbl>
    <w:p/>
    <w:p>
      <w:r>
        <w:rPr>
          <w:rFonts w:ascii="Calibri" w:hAnsi="Calibri"/>
          <w:b w:val="0"/>
          <w:sz w:val="22"/>
        </w:rPr>
        <w:t>Xử lý lỗi Kafka: consumer idempotent theo event-id; dùng Dead Letter Topic cho sự kiện xử lý thất bại sau số lần retry cấu hình; trạng thái đơn là nguồn sự thật (source of truth), sự kiện chỉ là hệ quả.</w:t>
      </w:r>
    </w:p>
    <w:p>
      <w:pPr>
        <w:pStyle w:val="Heading1"/>
      </w:pPr>
      <w:r>
        <w:rPr>
          <w:color w:val="9B111E"/>
        </w:rPr>
        <w:t>4. REDIS — CÁC TRƯỜNG HỢP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Key pattern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Mục đích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TTL gợi 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cart:{userId} / cart:guest:{sessionId}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Giỏ hàng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7 ngày / 24 giờ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menu:store:{storeId}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Cache menu theo chi nhánh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5-15 phút, xóa khi Admin/Staff đổi tình trạng món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otp:{emailOrPhone}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Mã OTP đăng ký/quên mật khẩu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5 phút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payment:pending:{orderCode}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Trạng thái chờ thanh toán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Bằng thời hạn QR (ví dụ 15 phút)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rate-limit:{ip/user}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Giới hạn request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Theo cửa sổ cấu hình</w:t>
            </w:r>
          </w:p>
        </w:tc>
      </w:tr>
    </w:tbl>
    <w:p/>
    <w:p>
      <w:pPr>
        <w:pStyle w:val="Heading1"/>
      </w:pPr>
      <w:r>
        <w:rPr>
          <w:color w:val="9B111E"/>
        </w:rPr>
        <w:t>5. BẢO MẬT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Mật khẩu băm BCrypt (strength 10-12). Access token JWT 15-30 phút, refresh token 7 ngày (lưu httpOnly cookie hoặc store an toàn phía client).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JWT chứa: sub (userId), role, storeId (với Staff/Manager). Mọi service tự kiểm tra storeId khi truy cập dữ liệu chi nhánh — không tin frontend.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Webhook SePay/Casso: kiểm tra chữ ký/token bí mật + whitelist IP, idempotency theo mã giao dịch ngân hàng (bank transaction id duy nhất).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Secrets (DB password, JWT secret, API key SePay/Casso) đặt trong file .env trên VPS, không commit lên Git.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HTTPS bắt buộc ở Nginx; HSTS, CORS chỉ cho phép domain frontend.</w:t>
      </w:r>
    </w:p>
    <w:p>
      <w:pPr>
        <w:pStyle w:val="Heading2"/>
      </w:pPr>
      <w:r>
        <w:rPr>
          <w:color w:val="9B111E"/>
        </w:rPr>
        <w:t>5.1. Ghi chú triển khai đối soát SePay (Payment Service)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Đối chiếu đơn bằng trường </w:t>
      </w:r>
      <w:r>
        <w:rPr>
          <w:rFonts w:ascii="Calibri" w:hAnsi="Calibri"/>
          <w:b/>
          <w:sz w:val="22"/>
        </w:rPr>
        <w:t>code</w:t>
      </w:r>
      <w:r>
        <w:rPr>
          <w:rFonts w:ascii="Calibri" w:hAnsi="Calibri"/>
          <w:b w:val="0"/>
          <w:sz w:val="22"/>
        </w:rPr>
        <w:t xml:space="preserve"> của SePay: nội dung chuyển khoản chứa mã đơn (order_code) do hệ thống sinh; Payment Service trích mã đơn từ giao dịch để khớp đơn.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Chữ ký HMAC phải tính trên </w:t>
      </w:r>
      <w:r>
        <w:rPr>
          <w:rFonts w:ascii="Calibri" w:hAnsi="Calibri"/>
          <w:b/>
          <w:sz w:val="22"/>
        </w:rPr>
        <w:t>bytes gốc của request body</w:t>
      </w:r>
      <w:r>
        <w:rPr>
          <w:rFonts w:ascii="Calibri" w:hAnsi="Calibri"/>
          <w:b w:val="0"/>
          <w:sz w:val="22"/>
        </w:rPr>
        <w:t xml:space="preserve"> (raw body), không tính trên dữ liệu JSON đã parse/format lại — sai lệch một byte là chữ ký không khớp.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Webhook phải trả về </w:t>
      </w:r>
      <w:r>
        <w:rPr>
          <w:rFonts w:ascii="Calibri" w:hAnsi="Calibri"/>
          <w:sz w:val="21"/>
        </w:rPr>
        <w:t>{"success": true}</w:t>
      </w:r>
      <w:r>
        <w:rPr>
          <w:rFonts w:ascii="Calibri" w:hAnsi="Calibri"/>
          <w:b w:val="0"/>
          <w:sz w:val="22"/>
        </w:rPr>
        <w:t xml:space="preserve"> với HTTP 200 hoặc 201 trong vòng </w:t>
      </w:r>
      <w:r>
        <w:rPr>
          <w:rFonts w:ascii="Calibri" w:hAnsi="Calibri"/>
          <w:b/>
          <w:sz w:val="22"/>
        </w:rPr>
        <w:t>8 giây</w:t>
      </w:r>
      <w:r>
        <w:rPr>
          <w:rFonts w:ascii="Calibri" w:hAnsi="Calibri"/>
          <w:b w:val="0"/>
          <w:sz w:val="22"/>
        </w:rPr>
        <w:t>; xử lý nặng (gửi thông báo, cộng điểm) đẩy qua Kafka để webhook đáp ứng nhanh.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Thông tin ngân hàng/SePay trong tài liệu hướng dẫn triển khai (BIN, số tài khoản ví dụ) chỉ là placeholder — khi chạy thật phải thay bằng tài khoản demo/thật của nhóm và không commit secrets lên Git.</w:t>
      </w:r>
    </w:p>
    <w:p>
      <w:pPr>
        <w:pStyle w:val="Heading1"/>
      </w:pPr>
      <w:r>
        <w:rPr>
          <w:color w:val="9B111E"/>
        </w:rPr>
        <w:t>6. TRIỂN KHAI DOCKER COMPOSE TRÊN VPS</w:t>
      </w:r>
    </w:p>
    <w:p>
      <w:pPr>
        <w:pStyle w:val="Heading2"/>
      </w:pPr>
      <w:r>
        <w:rPr>
          <w:color w:val="9B111E"/>
        </w:rPr>
        <w:t>6.1. Danh sách container (khoảng 15)</w:t>
      </w:r>
    </w:p>
    <w:p>
      <w:r>
        <w:rPr>
          <w:rFonts w:ascii="Calibri" w:hAnsi="Calibri"/>
          <w:b w:val="0"/>
          <w:sz w:val="22"/>
        </w:rPr>
        <w:t>nextjs-customer-frontend, react-admin-frontend, api-gateway, identity-service, catalog-service, order-service, payment-service, promotion-service, shipping-service, notification-service, report-service, postgres, redis, kafka, nginx.</w:t>
      </w:r>
    </w:p>
    <w:p>
      <w:pPr>
        <w:pStyle w:val="Heading2"/>
      </w:pPr>
      <w:r>
        <w:rPr>
          <w:color w:val="9B111E"/>
        </w:rPr>
        <w:t>6.2. Mạng và dữ liệu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Một Docker network nội bộ (app-net); chỉ Nginx (80/443) và frontend/gateway theo thiết kế mới public ra Internet, database/Redis/Kafka không mở port ra ngoài.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Volume: postgres-data, redis-data, kafka-data, media-files (ảnh món/banner), nginx logs, backup.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Mỗi backend service: restart: unless-stopped, healthcheck bằng /actuator/health, depends_on theo điều kiện healthy của postgres/kafka/redis.</w:t>
      </w:r>
    </w:p>
    <w:p>
      <w:pPr>
        <w:pStyle w:val="Heading2"/>
      </w:pPr>
      <w:r>
        <w:rPr>
          <w:color w:val="9B111E"/>
        </w:rPr>
        <w:t>6.3. Quy trình deploy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Chuẩn bị VPS (Ubuntu 22.04+, Docker + Docker Compose plugin, mở port 80/443/22).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Clone source, tạo file .env từ .env.example, điền secrets và thông tin ngân hàng/SePay-Casso.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docker compose build → docker compose up -d.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Trỏ domain về VPS, cấu hình Nginx reverse proxy → frontend/gateway, cấp chứng chỉ Let's Encrypt (certbot).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Kiểm tra healthcheck toàn bộ service, chạy checklist smoke-test (đăng nhập, xem menu, đặt đơn COD, đặt đơn chuyển khoản).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Bật cron backup PostgreSQL hằng ngày vào thư mục backup (giữ 7 bản).</w:t>
      </w:r>
    </w:p>
    <w:p>
      <w:pPr>
        <w:pStyle w:val="Heading2"/>
      </w:pPr>
      <w:r>
        <w:rPr>
          <w:color w:val="9B111E"/>
        </w:rPr>
        <w:t>6.4. Tài nguyên khuyến nghị</w:t>
      </w:r>
    </w:p>
    <w:p>
      <w:r>
        <w:rPr>
          <w:rFonts w:ascii="Calibri" w:hAnsi="Calibri"/>
          <w:b w:val="0"/>
          <w:sz w:val="22"/>
        </w:rPr>
        <w:t>VPS tối thiểu cho đồ án/demo: 4 vCPU, 8 GB RAM, 60 GB SSD. Nếu RAM hạn chế: giảm heap JVM mỗi service (-Xmx256m…512m), dùng chung 1 instance PostgreSQL với nhiều schema như Mục 2.</w:t>
      </w:r>
    </w:p>
    <w:p>
      <w:pPr>
        <w:pStyle w:val="Heading1"/>
      </w:pPr>
      <w:r>
        <w:rPr>
          <w:color w:val="9B111E"/>
        </w:rPr>
        <w:t>7. QUYẾT ĐỊNH KIẾN TRÚC (ADR 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Quyết định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Lý do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Đánh đổi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Gộp Store vào Catalog, Cart vào Order, Review vào Report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Giữ số service ở mức tối thiểu hợp lý (9), giảm chi phí vận hành VPS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Service lớn hơn một chút; tách lại được khi Phase 2 cần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Shipping là service riêng dù MVP chưa vận hành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Phase 2 kích hoạt không phải refactor Order Service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Thêm 1 container nhẹ trong MVP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Đối soát thanh toán qua SePay/Casso thay vì tự đọc sao kê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Có webhook thời gian thực, đúng yêu cầu không giả lập, chi phí thấp cho đồ án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Phụ thuộc bên thứ ba; có phương án xác nhận thủ công dự phòng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Sự kiện Kafka thay cho gọi REST nối chuỗi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Tách luồng giao dịch khỏi thông báo/báo cáo/điểm; chịu lỗi tốt hơn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Cần idempotency và DLQ, độ phức tạp cao hơn REST thuần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Không Kubernetes, chỉ Docker Compose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Đủ cho 1 VPS, dễ demo và bảo trì trong phạm vi đồ án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Không tự scale ngang đa node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