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9B111E"/>
        </w:rPr>
        <w:t>MA TRẬN PHÂN QUYỀN (RBAC)</w:t>
      </w:r>
    </w:p>
    <w:p>
      <w:pPr>
        <w:pStyle w:val="Heading2"/>
      </w:pPr>
      <w:r>
        <w:rPr>
          <w:color w:val="9B111E"/>
        </w:rPr>
        <w:t>Hệ thống website bán hàng thức ăn nhanh</w:t>
      </w:r>
    </w:p>
    <w:p>
      <w:r>
        <w:rPr>
          <w:rFonts w:ascii="Calibri" w:hAnsi="Calibri"/>
          <w:b w:val="0"/>
          <w:sz w:val="22"/>
        </w:rPr>
        <w:t>Ký hiệu: ✅ = Được phép | ❌ = Không được phép | 🔶 = Được phép trong phạm vi giới hạn (xem Ghi chú)</w:t>
      </w:r>
    </w:p>
    <w:p>
      <w:r>
        <w:rPr>
          <w:rFonts w:ascii="Calibri" w:hAnsi="Calibri"/>
          <w:b w:val="0"/>
          <w:sz w:val="22"/>
        </w:rPr>
        <w:t xml:space="preserve">Phạm vi dữ liệu: Staff và Store Manager bị ép </w:t>
      </w:r>
      <w:r>
        <w:rPr>
          <w:rFonts w:ascii="Calibri" w:hAnsi="Calibri"/>
          <w:sz w:val="21"/>
        </w:rPr>
        <w:t>storeId</w:t>
      </w:r>
      <w:r>
        <w:rPr>
          <w:rFonts w:ascii="Calibri" w:hAnsi="Calibri"/>
          <w:b w:val="0"/>
          <w:sz w:val="22"/>
        </w:rPr>
        <w:t xml:space="preserve"> của chi nhánh được gán ở backend (JWT + kiểm tra tại từng service), không chỉ ẩn giao diện.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#</w:t>
            </w:r>
          </w:p>
        </w:tc>
        <w:tc>
          <w:tcPr>
            <w:tcW w:type="dxa" w:w="1218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Chức năng</w:t>
            </w:r>
          </w:p>
        </w:tc>
        <w:tc>
          <w:tcPr>
            <w:tcW w:type="dxa" w:w="1218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Guest</w:t>
            </w:r>
          </w:p>
        </w:tc>
        <w:tc>
          <w:tcPr>
            <w:tcW w:type="dxa" w:w="1218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Customer</w:t>
            </w:r>
          </w:p>
        </w:tc>
        <w:tc>
          <w:tcPr>
            <w:tcW w:type="dxa" w:w="1218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Staff</w:t>
            </w:r>
          </w:p>
        </w:tc>
        <w:tc>
          <w:tcPr>
            <w:tcW w:type="dxa" w:w="1218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Store Manager</w:t>
            </w:r>
          </w:p>
        </w:tc>
        <w:tc>
          <w:tcPr>
            <w:tcW w:type="dxa" w:w="1218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Admin</w:t>
            </w:r>
          </w:p>
        </w:tc>
        <w:tc>
          <w:tcPr>
            <w:tcW w:type="dxa" w:w="1218"/>
            <w:shd w:val="clear" w:fill="FDECEC"/>
          </w:tcPr>
          <w:p>
            <w:r/>
            <w:r>
              <w:rPr>
                <w:rFonts w:ascii="Calibri" w:hAnsi="Calibri"/>
                <w:b/>
                <w:sz w:val="19"/>
              </w:rPr>
              <w:t>Shipper (Phase 2)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Xem trang chủ, menu, chi nhánh, khuyến mãi công khai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Tìm kiếm / lọc món, xem đánh giá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Giỏ hàng tạm (chưa đăng nhập)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Đăng ký / đăng nhập / quên mật khẩu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tài khoản được cấp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tài khoản được cấp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tài khoản được cấp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Hồ sơ cá nhân, sổ địa chỉ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hồ sơ của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hồ sơ của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hồ sơ của mình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6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Đặt hàng (checkout)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7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Dùng voucher, tích/đổi điểm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8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Thanh toán chuyển khoản / COD cho đơn của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9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Theo dõi đơn, lịch sử đơn, đặt lại đơn của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10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Hủy đơn của mình (đủ điều kiện)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11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Đánh giá món sau đơn hoàn thành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12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Gửi form đặt tiệc / đơn lớn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13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Nhận thông báo đơn mới của quán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mọi quán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14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Xử lý đơn: xác nhận, chế biến, sẵn sàng, hoàn thành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mọi quán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15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Hủy / từ chối đơn tại quán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kèm lý do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mọi quán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16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Duyệt hoàn tiền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 chỉ tạo yêu cầu hộ/gửi lên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toàn hệ thống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17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Xác nhận đã thu COD tại quán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Phase 2: đơn mình giao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18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Đối chiếu chuyển khoản, báo sai lệch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báo sai lệch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toàn hệ thống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19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Xác nhận thanh toán thủ công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quán mình, ghi audit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20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Bật/tắt món hết/còn trong ca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21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Cập nhật kho cơ bản của quán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cập nhật số lượng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duyệt + nhập/kiểm kê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22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Xem thông tin khách trong đơn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chỉ trong đơn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toàn bộ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chỉ đơn được gán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23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Phản hồi đánh giá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24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Ẩn / xóa đánh giá vi phạm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ẩn,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ẩn + xóa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25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Dashboard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tổng kết ca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chi nhánh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toàn chuỗi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lịch sử giao của mình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26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Báo cáo doanh thu + xuất Excel/PDF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toàn hệ thống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27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Tạo / khóa tài khoản Staff, phân ca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28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Tạo tài khoản Store Manager, gán chi nhánh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29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CRUD chi nhánh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30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Cấu hình vận hành quán (giờ, tạm đóng)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31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CRUD danh mục / món / combo / giá gốc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 chỉ đề xuất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32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CRUD voucher / khuyến mãi toàn chuỗi, banner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 chỉ đề xuất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33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Duyệt voucher / khuyến mãi của chi nhánh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34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Cấu hình tích điểm / hạng thành viên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35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Quản lý khách hàng (khóa/mở, lịch sử mua)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36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Cấu hình ngân hàng nhận tiền, phí ship, hệ thống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37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Xem audit log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Staff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toàn hệ thống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38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Gán đơn cho shipper, theo dõi giao hàng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quán mình (Phase 2)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(Phase 2)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39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Cập nhật trạng thái giao hàng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can thiệp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đơn được gán (Phase 2)</w:t>
            </w:r>
          </w:p>
        </w:tc>
      </w:tr>
      <w:tr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40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Tiếp nhận / báo giá đơn tiệc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🔶 tiếp nhận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 báo giá quán mình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✅</w:t>
            </w:r>
          </w:p>
        </w:tc>
        <w:tc>
          <w:tcPr>
            <w:tcW w:type="dxa" w:w="1218"/>
          </w:tcPr>
          <w:p>
            <w:r/>
            <w:r>
              <w:rPr>
                <w:rFonts w:ascii="Calibri" w:hAnsi="Calibri"/>
                <w:b w:val="0"/>
                <w:sz w:val="19"/>
              </w:rPr>
              <w:t>❌</w:t>
            </w:r>
          </w:p>
        </w:tc>
      </w:tr>
    </w:tbl>
    <w:p/>
    <w:p>
      <w:pPr>
        <w:pStyle w:val="Heading2"/>
      </w:pPr>
      <w:r>
        <w:rPr>
          <w:color w:val="9B111E"/>
        </w:rPr>
        <w:t>Ghi chú triển khai phân quyền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 xml:space="preserve">JWT chứa </w:t>
      </w:r>
      <w:r>
        <w:rPr>
          <w:rFonts w:ascii="Calibri" w:hAnsi="Calibri"/>
          <w:sz w:val="21"/>
        </w:rPr>
        <w:t>role</w:t>
      </w:r>
      <w:r>
        <w:rPr>
          <w:rFonts w:ascii="Calibri" w:hAnsi="Calibri"/>
          <w:b w:val="0"/>
          <w:sz w:val="22"/>
        </w:rPr>
        <w:t xml:space="preserve"> và </w:t>
      </w:r>
      <w:r>
        <w:rPr>
          <w:rFonts w:ascii="Calibri" w:hAnsi="Calibri"/>
          <w:sz w:val="21"/>
        </w:rPr>
        <w:t>storeId</w:t>
      </w:r>
      <w:r>
        <w:rPr>
          <w:rFonts w:ascii="Calibri" w:hAnsi="Calibri"/>
          <w:b w:val="0"/>
          <w:sz w:val="22"/>
        </w:rPr>
        <w:t xml:space="preserve"> (Staff/Manager/Shipper). Gateway kiểm tra token hợp lệ; từng service kiểm tra quyền chi tiết bằng </w:t>
      </w:r>
      <w:r>
        <w:rPr>
          <w:rFonts w:ascii="Calibri" w:hAnsi="Calibri"/>
          <w:sz w:val="21"/>
        </w:rPr>
        <w:t>@PreAuthorize</w:t>
      </w:r>
      <w:r>
        <w:rPr>
          <w:rFonts w:ascii="Calibri" w:hAnsi="Calibri"/>
          <w:b w:val="0"/>
          <w:sz w:val="22"/>
        </w:rPr>
        <w:t xml:space="preserve"> và điều kiện storeId trên dữ liệu truy vấn.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Mọi thao tác nhạy cảm (hủy đơn, duyệt hoàn tiền, xác nhận thanh toán thủ công, ẩn đánh giá, khóa tài khoản) đều ghi audit log: actor, role, storeId, hành động, đối tượng, thời gian.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Khách chỉ truy cập được đơn/địa chỉ/điểm của chính mình (kiểm tra owner id phía server).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Webhook thanh toán không dùng JWT; xác thực bằng chữ ký bí mật của SePay/Casso + whitelist IP.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