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4E79"/>
          <w:sz w:val="52"/>
          <w:szCs w:val="52"/>
        </w:rPr>
        <w:t xml:space="preserve">Bridging the Digital Divide</w:t>
      </w:r>
    </w:p>
    <w:p>
      <w:pPr>
        <w:spacing w:after="0" w:before="120"/>
        <w:jc w:val="center"/>
      </w:pPr>
      <w:r>
        <w:rPr>
          <w:rFonts w:ascii="Calibri" w:cs="Calibri" w:eastAsia="Calibri" w:hAnsi="Calibri"/>
          <w:color w:val="595959"/>
          <w:sz w:val="26"/>
          <w:szCs w:val="26"/>
        </w:rPr>
        <w:t xml:space="preserve">Internet and Mobile Adoption in South Africa and Sub-Saharan Africa, 2000–2024</w:t>
      </w:r>
    </w:p>
    <w:p>
      <w:pPr>
        <w:spacing w:after="0" w:before="2400"/>
        <w:jc w:val="center"/>
      </w:pPr>
      <w:r>
        <w:rPr>
          <w:rFonts w:ascii="Calibri" w:cs="Calibri" w:eastAsia="Calibri" w:hAnsi="Calibri"/>
          <w:b/>
          <w:bCs/>
          <w:sz w:val="24"/>
          <w:szCs w:val="24"/>
        </w:rPr>
        <w:t xml:space="preserve">Data Analytics Capstone Project</w:t>
      </w:r>
    </w:p>
    <w:p>
      <w:pPr>
        <w:spacing w:after="0" w:before="80"/>
        <w:jc w:val="center"/>
      </w:pPr>
      <w:r>
        <w:rPr>
          <w:rFonts w:ascii="Calibri" w:cs="Calibri" w:eastAsia="Calibri" w:hAnsi="Calibri"/>
          <w:color w:val="595959"/>
          <w:sz w:val="20"/>
          <w:szCs w:val="20"/>
        </w:rPr>
        <w:t xml:space="preserve">AnalystLab Africa Internship  •  Week 8</w:t>
      </w:r>
    </w:p>
    <w:p>
      <w:pPr>
        <w:spacing w:after="0" w:before="80"/>
        <w:jc w:val="center"/>
      </w:pPr>
      <w:r>
        <w:rPr>
          <w:rFonts w:ascii="Calibri" w:cs="Calibri" w:eastAsia="Calibri" w:hAnsi="Calibri"/>
          <w:color w:val="595959"/>
          <w:sz w:val="20"/>
          <w:szCs w:val="20"/>
        </w:rPr>
        <w:t xml:space="preserve">Tool: Microsoft Power BI  •  Source: World Bank World Development Indicators</w:t>
      </w:r>
    </w:p>
    <w:p>
      <w:r>
        <w:br w:type="page"/>
      </w:r>
    </w:p>
    <w:p>
      <w:pPr>
        <w:pStyle w:val="Heading1"/>
        <w:spacing w:after="110" w:before="240"/>
      </w:pPr>
      <w:r>
        <w:rPr>
          <w:rFonts w:ascii="Calibri" w:cs="Calibri" w:eastAsia="Calibri" w:hAnsi="Calibri"/>
          <w:b/>
          <w:bCs/>
          <w:color w:val="1F4E79"/>
          <w:sz w:val="28"/>
          <w:szCs w:val="28"/>
        </w:rPr>
        <w:t xml:space="preserve">1. Objective and Problem Statement</w:t>
      </w:r>
    </w:p>
    <w:p>
      <w:pPr>
        <w:spacing w:after="120" w:line="276"/>
      </w:pPr>
      <w:r>
        <w:rPr>
          <w:rFonts w:ascii="Calibri" w:cs="Calibri" w:eastAsia="Calibri" w:hAnsi="Calibri"/>
          <w:sz w:val="21"/>
          <w:szCs w:val="21"/>
        </w:rPr>
        <w:t xml:space="preserve">Mobile phone ownership across Africa has grown explosively, yet internet usage has lagged well behind. This project investigates that disconnect: why mobile adoption leapfrogged while internet access did not, and what separates the more-connected countries from the less-connected ones.</w:t>
      </w:r>
    </w:p>
    <w:p>
      <w:pPr>
        <w:spacing w:after="120" w:line="276"/>
      </w:pPr>
      <w:r>
        <w:rPr>
          <w:rFonts w:ascii="Calibri" w:cs="Calibri" w:eastAsia="Calibri" w:hAnsi="Calibri"/>
          <w:sz w:val="21"/>
          <w:szCs w:val="21"/>
        </w:rPr>
        <w:t xml:space="preserve">The analysis focuses on South Africa, benchmarked against five African peers (Nigeria, Kenya, Egypt, Ghana, Rwanda) and three global aggregates (Sub-Saharan Africa, World, High income). It sets out to answer four questions:</w:t>
      </w:r>
    </w:p>
    <w:p>
      <w:pPr>
        <w:pStyle w:val="ListParagraph"/>
        <w:numPr>
          <w:ilvl w:val="0"/>
          <w:numId w:val="2"/>
        </w:numPr>
        <w:spacing w:after="70" w:line="276"/>
      </w:pPr>
      <w:r>
        <w:rPr>
          <w:rFonts w:ascii="Calibri" w:cs="Calibri" w:eastAsia="Calibri" w:hAnsi="Calibri"/>
          <w:sz w:val="21"/>
          <w:szCs w:val="21"/>
        </w:rPr>
        <w:t xml:space="preserve">How wide is the gap between mobile subscriptions and actual internet usage, and where is it largest?</w:t>
      </w:r>
    </w:p>
    <w:p>
      <w:pPr>
        <w:pStyle w:val="ListParagraph"/>
        <w:numPr>
          <w:ilvl w:val="0"/>
          <w:numId w:val="2"/>
        </w:numPr>
        <w:spacing w:after="70" w:line="276"/>
      </w:pPr>
      <w:r>
        <w:rPr>
          <w:rFonts w:ascii="Calibri" w:cs="Calibri" w:eastAsia="Calibri" w:hAnsi="Calibri"/>
          <w:sz w:val="21"/>
          <w:szCs w:val="21"/>
        </w:rPr>
        <w:t xml:space="preserve">How does South Africa compare to its regional peers and to global benchmarks?</w:t>
      </w:r>
    </w:p>
    <w:p>
      <w:pPr>
        <w:pStyle w:val="ListParagraph"/>
        <w:numPr>
          <w:ilvl w:val="0"/>
          <w:numId w:val="2"/>
        </w:numPr>
        <w:spacing w:after="70" w:line="276"/>
      </w:pPr>
      <w:r>
        <w:rPr>
          <w:rFonts w:ascii="Calibri" w:cs="Calibri" w:eastAsia="Calibri" w:hAnsi="Calibri"/>
          <w:sz w:val="21"/>
          <w:szCs w:val="21"/>
        </w:rPr>
        <w:t xml:space="preserve">What underlying factors — wealth, electricity access, infrastructure — explain the differences?</w:t>
      </w:r>
    </w:p>
    <w:p>
      <w:pPr>
        <w:pStyle w:val="ListParagraph"/>
        <w:numPr>
          <w:ilvl w:val="0"/>
          <w:numId w:val="2"/>
        </w:numPr>
        <w:spacing w:after="70" w:line="276"/>
      </w:pPr>
      <w:r>
        <w:rPr>
          <w:rFonts w:ascii="Calibri" w:cs="Calibri" w:eastAsia="Calibri" w:hAnsi="Calibri"/>
          <w:sz w:val="21"/>
          <w:szCs w:val="21"/>
        </w:rPr>
        <w:t xml:space="preserve">How many people, in absolute terms, remain offline?</w:t>
      </w:r>
    </w:p>
    <w:p>
      <w:pPr>
        <w:pStyle w:val="Heading1"/>
        <w:spacing w:after="110" w:before="240"/>
      </w:pPr>
      <w:r>
        <w:rPr>
          <w:rFonts w:ascii="Calibri" w:cs="Calibri" w:eastAsia="Calibri" w:hAnsi="Calibri"/>
          <w:b/>
          <w:bCs/>
          <w:color w:val="1F4E79"/>
          <w:sz w:val="28"/>
          <w:szCs w:val="28"/>
        </w:rPr>
        <w:t xml:space="preserve">2. Dataset Description</w:t>
      </w:r>
    </w:p>
    <w:p>
      <w:pPr>
        <w:spacing w:after="120" w:line="276"/>
      </w:pPr>
      <w:r>
        <w:rPr>
          <w:rFonts w:ascii="Calibri" w:cs="Calibri" w:eastAsia="Calibri" w:hAnsi="Calibri"/>
          <w:sz w:val="21"/>
          <w:szCs w:val="21"/>
        </w:rPr>
        <w:t xml:space="preserve">The data is drawn from the World Bank's World Development Indicators (WDI), the Bank's flagship collection of global development statistics covering over 200 countries. The full bulk CSV contains roughly 380,000 rows across 1,500 indicators.</w:t>
      </w:r>
    </w:p>
    <w:p>
      <w:pPr>
        <w:spacing w:after="120" w:line="276"/>
      </w:pPr>
      <w:r>
        <w:rPr>
          <w:rFonts w:ascii="Calibri" w:cs="Calibri" w:eastAsia="Calibri" w:hAnsi="Calibri"/>
          <w:sz w:val="21"/>
          <w:szCs w:val="21"/>
        </w:rPr>
        <w:t xml:space="preserve">From this, six indicators were selected as most relevant to the digital-divide question:</w:t>
      </w:r>
    </w:p>
    <w:p>
      <w:pPr>
        <w:pStyle w:val="ListParagraph"/>
        <w:numPr>
          <w:ilvl w:val="0"/>
          <w:numId w:val="2"/>
        </w:numPr>
        <w:spacing w:after="70" w:line="276"/>
      </w:pPr>
      <w:r>
        <w:rPr>
          <w:rFonts w:ascii="Calibri" w:cs="Calibri" w:eastAsia="Calibri" w:hAnsi="Calibri"/>
          <w:b/>
          <w:bCs/>
          <w:sz w:val="21"/>
          <w:szCs w:val="21"/>
        </w:rPr>
        <w:t xml:space="preserve">Individuals using the internet (% of population) — </w:t>
      </w:r>
      <w:r>
        <w:rPr>
          <w:rFonts w:ascii="Calibri" w:cs="Calibri" w:eastAsia="Calibri" w:hAnsi="Calibri"/>
          <w:sz w:val="21"/>
          <w:szCs w:val="21"/>
        </w:rPr>
        <w:t xml:space="preserve">the primary measure of connectivity.</w:t>
      </w:r>
    </w:p>
    <w:p>
      <w:pPr>
        <w:pStyle w:val="ListParagraph"/>
        <w:numPr>
          <w:ilvl w:val="0"/>
          <w:numId w:val="2"/>
        </w:numPr>
        <w:spacing w:after="70" w:line="276"/>
      </w:pPr>
      <w:r>
        <w:rPr>
          <w:rFonts w:ascii="Calibri" w:cs="Calibri" w:eastAsia="Calibri" w:hAnsi="Calibri"/>
          <w:b/>
          <w:bCs/>
          <w:sz w:val="21"/>
          <w:szCs w:val="21"/>
        </w:rPr>
        <w:t xml:space="preserve">Mobile cellular subscriptions (per 100 people) — </w:t>
      </w:r>
      <w:r>
        <w:rPr>
          <w:rFonts w:ascii="Calibri" w:cs="Calibri" w:eastAsia="Calibri" w:hAnsi="Calibri"/>
          <w:sz w:val="21"/>
          <w:szCs w:val="21"/>
        </w:rPr>
        <w:t xml:space="preserve">the measure of the mobile leapfrog.</w:t>
      </w:r>
    </w:p>
    <w:p>
      <w:pPr>
        <w:pStyle w:val="ListParagraph"/>
        <w:numPr>
          <w:ilvl w:val="0"/>
          <w:numId w:val="2"/>
        </w:numPr>
        <w:spacing w:after="70" w:line="276"/>
      </w:pPr>
      <w:r>
        <w:rPr>
          <w:rFonts w:ascii="Calibri" w:cs="Calibri" w:eastAsia="Calibri" w:hAnsi="Calibri"/>
          <w:b/>
          <w:bCs/>
          <w:sz w:val="21"/>
          <w:szCs w:val="21"/>
        </w:rPr>
        <w:t xml:space="preserve">Fixed broadband subscriptions (per 100 people) — </w:t>
      </w:r>
      <w:r>
        <w:rPr>
          <w:rFonts w:ascii="Calibri" w:cs="Calibri" w:eastAsia="Calibri" w:hAnsi="Calibri"/>
          <w:sz w:val="21"/>
          <w:szCs w:val="21"/>
        </w:rPr>
        <w:t xml:space="preserve">infrastructure that did not leapfrog.</w:t>
      </w:r>
    </w:p>
    <w:p>
      <w:pPr>
        <w:pStyle w:val="ListParagraph"/>
        <w:numPr>
          <w:ilvl w:val="0"/>
          <w:numId w:val="2"/>
        </w:numPr>
        <w:spacing w:after="70" w:line="276"/>
      </w:pPr>
      <w:r>
        <w:rPr>
          <w:rFonts w:ascii="Calibri" w:cs="Calibri" w:eastAsia="Calibri" w:hAnsi="Calibri"/>
          <w:b/>
          <w:bCs/>
          <w:sz w:val="21"/>
          <w:szCs w:val="21"/>
        </w:rPr>
        <w:t xml:space="preserve">Access to electricity (% of population) — </w:t>
      </w:r>
      <w:r>
        <w:rPr>
          <w:rFonts w:ascii="Calibri" w:cs="Calibri" w:eastAsia="Calibri" w:hAnsi="Calibri"/>
          <w:sz w:val="21"/>
          <w:szCs w:val="21"/>
        </w:rPr>
        <w:t xml:space="preserve">the physical precondition for connectivity.</w:t>
      </w:r>
    </w:p>
    <w:p>
      <w:pPr>
        <w:pStyle w:val="ListParagraph"/>
        <w:numPr>
          <w:ilvl w:val="0"/>
          <w:numId w:val="2"/>
        </w:numPr>
        <w:spacing w:after="70" w:line="276"/>
      </w:pPr>
      <w:r>
        <w:rPr>
          <w:rFonts w:ascii="Calibri" w:cs="Calibri" w:eastAsia="Calibri" w:hAnsi="Calibri"/>
          <w:b/>
          <w:bCs/>
          <w:sz w:val="21"/>
          <w:szCs w:val="21"/>
        </w:rPr>
        <w:t xml:space="preserve">GDP per capita (current US$) — </w:t>
      </w:r>
      <w:r>
        <w:rPr>
          <w:rFonts w:ascii="Calibri" w:cs="Calibri" w:eastAsia="Calibri" w:hAnsi="Calibri"/>
          <w:sz w:val="21"/>
          <w:szCs w:val="21"/>
        </w:rPr>
        <w:t xml:space="preserve">to test whether wealth explains adoption.</w:t>
      </w:r>
    </w:p>
    <w:p>
      <w:pPr>
        <w:pStyle w:val="ListParagraph"/>
        <w:numPr>
          <w:ilvl w:val="0"/>
          <w:numId w:val="2"/>
        </w:numPr>
        <w:spacing w:after="70" w:line="276"/>
      </w:pPr>
      <w:r>
        <w:rPr>
          <w:rFonts w:ascii="Calibri" w:cs="Calibri" w:eastAsia="Calibri" w:hAnsi="Calibri"/>
          <w:b/>
          <w:bCs/>
          <w:sz w:val="21"/>
          <w:szCs w:val="21"/>
        </w:rPr>
        <w:t xml:space="preserve">Population, total — </w:t>
      </w:r>
      <w:r>
        <w:rPr>
          <w:rFonts w:ascii="Calibri" w:cs="Calibri" w:eastAsia="Calibri" w:hAnsi="Calibri"/>
          <w:sz w:val="21"/>
          <w:szCs w:val="21"/>
        </w:rPr>
        <w:t xml:space="preserve">to convert percentages into absolute numbers of people.</w:t>
      </w:r>
    </w:p>
    <w:p>
      <w:pPr>
        <w:spacing w:after="60" w:line="276"/>
      </w:pPr>
      <w:r>
        <w:rPr>
          <w:rFonts w:ascii="Calibri" w:cs="Calibri" w:eastAsia="Calibri" w:hAnsi="Calibri"/>
          <w:sz w:val="21"/>
          <w:szCs w:val="21"/>
        </w:rPr>
        <w:t xml:space="preserve">After filtering to the nine entities and the years 2000–2024, the working dataset contained 1,264 records.</w:t>
      </w:r>
    </w:p>
    <w:p>
      <w:pPr>
        <w:pStyle w:val="Heading1"/>
        <w:spacing w:after="110" w:before="240"/>
      </w:pPr>
      <w:r>
        <w:rPr>
          <w:rFonts w:ascii="Calibri" w:cs="Calibri" w:eastAsia="Calibri" w:hAnsi="Calibri"/>
          <w:b/>
          <w:bCs/>
          <w:color w:val="1F4E79"/>
          <w:sz w:val="28"/>
          <w:szCs w:val="28"/>
        </w:rPr>
        <w:t xml:space="preserve">3. Data Cleaning Process</w:t>
      </w:r>
    </w:p>
    <w:p>
      <w:pPr>
        <w:spacing w:after="120" w:line="276"/>
      </w:pPr>
      <w:r>
        <w:rPr>
          <w:rFonts w:ascii="Calibri" w:cs="Calibri" w:eastAsia="Calibri" w:hAnsi="Calibri"/>
          <w:sz w:val="21"/>
          <w:szCs w:val="21"/>
        </w:rPr>
        <w:t xml:space="preserve">All cleaning was performed in Power Query within Power BI. Each step is recorded in the Applied Steps pane and is fully reproducible.</w:t>
      </w:r>
    </w:p>
    <w:p>
      <w:pPr>
        <w:pStyle w:val="Heading2"/>
        <w:spacing w:after="90" w:before="180"/>
      </w:pPr>
      <w:r>
        <w:rPr>
          <w:rFonts w:ascii="Calibri" w:cs="Calibri" w:eastAsia="Calibri" w:hAnsi="Calibri"/>
          <w:b/>
          <w:bCs/>
          <w:color w:val="1F4E79"/>
          <w:sz w:val="23"/>
          <w:szCs w:val="23"/>
        </w:rPr>
        <w:t xml:space="preserve">3.1 Structural preparation</w:t>
      </w:r>
    </w:p>
    <w:p>
      <w:pPr>
        <w:pStyle w:val="ListParagraph"/>
        <w:numPr>
          <w:ilvl w:val="0"/>
          <w:numId w:val="2"/>
        </w:numPr>
        <w:spacing w:after="70" w:line="276"/>
      </w:pPr>
      <w:r>
        <w:rPr>
          <w:rFonts w:ascii="Calibri" w:cs="Calibri" w:eastAsia="Calibri" w:hAnsi="Calibri"/>
          <w:b/>
          <w:bCs/>
          <w:sz w:val="21"/>
          <w:szCs w:val="21"/>
        </w:rPr>
        <w:t xml:space="preserve">Promoted headers — </w:t>
      </w:r>
      <w:r>
        <w:rPr>
          <w:rFonts w:ascii="Calibri" w:cs="Calibri" w:eastAsia="Calibri" w:hAnsi="Calibri"/>
          <w:sz w:val="21"/>
          <w:szCs w:val="21"/>
        </w:rPr>
        <w:t xml:space="preserve">the first data row was promoted to column names.</w:t>
      </w:r>
    </w:p>
    <w:p>
      <w:pPr>
        <w:pStyle w:val="ListParagraph"/>
        <w:numPr>
          <w:ilvl w:val="0"/>
          <w:numId w:val="2"/>
        </w:numPr>
        <w:spacing w:after="70" w:line="276"/>
      </w:pPr>
      <w:r>
        <w:rPr>
          <w:rFonts w:ascii="Calibri" w:cs="Calibri" w:eastAsia="Calibri" w:hAnsi="Calibri"/>
          <w:b/>
          <w:bCs/>
          <w:sz w:val="21"/>
          <w:szCs w:val="21"/>
        </w:rPr>
        <w:t xml:space="preserve">Filtered indicators — </w:t>
      </w:r>
      <w:r>
        <w:rPr>
          <w:rFonts w:ascii="Calibri" w:cs="Calibri" w:eastAsia="Calibri" w:hAnsi="Calibri"/>
          <w:sz w:val="21"/>
          <w:szCs w:val="21"/>
        </w:rPr>
        <w:t xml:space="preserve">reduced ~380,000 rows to the six selected indicators.</w:t>
      </w:r>
    </w:p>
    <w:p>
      <w:pPr>
        <w:pStyle w:val="ListParagraph"/>
        <w:numPr>
          <w:ilvl w:val="0"/>
          <w:numId w:val="2"/>
        </w:numPr>
        <w:spacing w:after="70" w:line="276"/>
      </w:pPr>
      <w:r>
        <w:rPr>
          <w:rFonts w:ascii="Calibri" w:cs="Calibri" w:eastAsia="Calibri" w:hAnsi="Calibri"/>
          <w:b/>
          <w:bCs/>
          <w:sz w:val="21"/>
          <w:szCs w:val="21"/>
        </w:rPr>
        <w:t xml:space="preserve">Filtered entities — </w:t>
      </w:r>
      <w:r>
        <w:rPr>
          <w:rFonts w:ascii="Calibri" w:cs="Calibri" w:eastAsia="Calibri" w:hAnsi="Calibri"/>
          <w:sz w:val="21"/>
          <w:szCs w:val="21"/>
        </w:rPr>
        <w:t xml:space="preserve">kept the six countries and three aggregates. Egypt required the exact World Bank label “Egypt, Arab Rep.”</w:t>
      </w:r>
    </w:p>
    <w:p>
      <w:pPr>
        <w:pStyle w:val="ListParagraph"/>
        <w:numPr>
          <w:ilvl w:val="0"/>
          <w:numId w:val="2"/>
        </w:numPr>
        <w:spacing w:after="70" w:line="276"/>
      </w:pPr>
      <w:r>
        <w:rPr>
          <w:rFonts w:ascii="Calibri" w:cs="Calibri" w:eastAsia="Calibri" w:hAnsi="Calibri"/>
          <w:b/>
          <w:bCs/>
          <w:sz w:val="21"/>
          <w:szCs w:val="21"/>
        </w:rPr>
        <w:t xml:space="preserve">Removed early years — </w:t>
      </w:r>
      <w:r>
        <w:rPr>
          <w:rFonts w:ascii="Calibri" w:cs="Calibri" w:eastAsia="Calibri" w:hAnsi="Calibri"/>
          <w:sz w:val="21"/>
          <w:szCs w:val="21"/>
        </w:rPr>
        <w:t xml:space="preserve">columns for 1960–1999 were dropped, as internet and mobile data barely exist before 2000. The empty 2025 column was also removed.</w:t>
      </w:r>
    </w:p>
    <w:p>
      <w:pPr>
        <w:pStyle w:val="Heading2"/>
        <w:spacing w:after="90" w:before="180"/>
      </w:pPr>
      <w:r>
        <w:rPr>
          <w:rFonts w:ascii="Calibri" w:cs="Calibri" w:eastAsia="Calibri" w:hAnsi="Calibri"/>
          <w:b/>
          <w:bCs/>
          <w:color w:val="1F4E79"/>
          <w:sz w:val="23"/>
          <w:szCs w:val="23"/>
        </w:rPr>
        <w:t xml:space="preserve">3.2 Reshaping the data</w:t>
      </w:r>
    </w:p>
    <w:p>
      <w:pPr>
        <w:spacing w:after="120" w:line="276"/>
      </w:pPr>
      <w:r>
        <w:rPr>
          <w:rFonts w:ascii="Calibri" w:cs="Calibri" w:eastAsia="Calibri" w:hAnsi="Calibri"/>
          <w:sz w:val="21"/>
          <w:szCs w:val="21"/>
        </w:rPr>
        <w:t xml:space="preserve">The WDI file is in wide format, with one column per year. Power BI requires long format — one row per observation — so the year columns were unpivoted into a single Year column and a single Value column. This transformed 54 wide rows into 1,264 long rows. Unpivoting also automatically dropped null country-year combinations, so gaps in the source data do not appear as empty rows.</w:t>
      </w:r>
    </w:p>
    <w:p>
      <w:pPr>
        <w:pStyle w:val="Heading2"/>
        <w:spacing w:after="90" w:before="180"/>
      </w:pPr>
      <w:r>
        <w:rPr>
          <w:rFonts w:ascii="Calibri" w:cs="Calibri" w:eastAsia="Calibri" w:hAnsi="Calibri"/>
          <w:b/>
          <w:bCs/>
          <w:color w:val="1F4E79"/>
          <w:sz w:val="23"/>
          <w:szCs w:val="23"/>
        </w:rPr>
        <w:t xml:space="preserve">3.3 Type correction</w:t>
      </w:r>
    </w:p>
    <w:p>
      <w:pPr>
        <w:spacing w:after="60" w:line="276"/>
      </w:pPr>
      <w:r>
        <w:rPr>
          <w:rFonts w:ascii="Calibri" w:cs="Calibri" w:eastAsia="Calibri" w:hAnsi="Calibri"/>
          <w:sz w:val="21"/>
          <w:szCs w:val="21"/>
        </w:rPr>
        <w:t xml:space="preserve">The Year column was converted from text to whole number. Left as text, Power BI would sort time-series charts alphabetically (2000, 2001, 2010, 2011, 2002…) rather than chronologically. Value was set to decimal number.</w:t>
      </w:r>
    </w:p>
    <w:p>
      <w:pPr>
        <w:pStyle w:val="Heading1"/>
        <w:spacing w:after="110" w:before="240"/>
      </w:pPr>
      <w:r>
        <w:rPr>
          <w:rFonts w:ascii="Calibri" w:cs="Calibri" w:eastAsia="Calibri" w:hAnsi="Calibri"/>
          <w:b/>
          <w:bCs/>
          <w:color w:val="1F4E79"/>
          <w:sz w:val="28"/>
          <w:szCs w:val="28"/>
        </w:rPr>
        <w:t xml:space="preserve">4. Analysis Methodology</w:t>
      </w:r>
    </w:p>
    <w:p>
      <w:pPr>
        <w:spacing w:after="120" w:line="276"/>
      </w:pPr>
      <w:r>
        <w:rPr>
          <w:rFonts w:ascii="Calibri" w:cs="Calibri" w:eastAsia="Calibri" w:hAnsi="Calibri"/>
          <w:sz w:val="21"/>
          <w:szCs w:val="21"/>
        </w:rPr>
        <w:t xml:space="preserve">Because the unpivoted Value column mixes percentages, currency and population counts, no measure can aggregate it directly. Nine DAX measures were built, each filtering to a single indicator before aggregating:</w:t>
      </w:r>
    </w:p>
    <w:p>
      <w:pPr>
        <w:pStyle w:val="ListParagraph"/>
        <w:numPr>
          <w:ilvl w:val="0"/>
          <w:numId w:val="2"/>
        </w:numPr>
        <w:spacing w:after="70" w:line="276"/>
      </w:pPr>
      <w:r>
        <w:rPr>
          <w:rFonts w:ascii="Calibri" w:cs="Calibri" w:eastAsia="Calibri" w:hAnsi="Calibri"/>
          <w:b/>
          <w:bCs/>
          <w:sz w:val="21"/>
          <w:szCs w:val="21"/>
        </w:rPr>
        <w:t xml:space="preserve">Six base measures — </w:t>
      </w:r>
      <w:r>
        <w:rPr>
          <w:rFonts w:ascii="Calibri" w:cs="Calibri" w:eastAsia="Calibri" w:hAnsi="Calibri"/>
          <w:sz w:val="21"/>
          <w:szCs w:val="21"/>
        </w:rPr>
        <w:t xml:space="preserve">one per indicator, each using CALCULATE to filter to that indicator's code before averaging (or, for population, summing).</w:t>
      </w:r>
    </w:p>
    <w:p>
      <w:pPr>
        <w:pStyle w:val="ListParagraph"/>
        <w:numPr>
          <w:ilvl w:val="0"/>
          <w:numId w:val="2"/>
        </w:numPr>
        <w:spacing w:after="70" w:line="276"/>
      </w:pPr>
      <w:r>
        <w:rPr>
          <w:rFonts w:ascii="Calibri" w:cs="Calibri" w:eastAsia="Calibri" w:hAnsi="Calibri"/>
          <w:b/>
          <w:bCs/>
          <w:sz w:val="21"/>
          <w:szCs w:val="21"/>
        </w:rPr>
        <w:t xml:space="preserve">Adoption Gap — </w:t>
      </w:r>
      <w:r>
        <w:rPr>
          <w:rFonts w:ascii="Calibri" w:cs="Calibri" w:eastAsia="Calibri" w:hAnsi="Calibri"/>
          <w:sz w:val="21"/>
          <w:szCs w:val="21"/>
        </w:rPr>
        <w:t xml:space="preserve">Mobile Subscriptions per 100 minus Internet Users %. This is the headline measure of the leapfrog effect.</w:t>
      </w:r>
    </w:p>
    <w:p>
      <w:pPr>
        <w:pStyle w:val="ListParagraph"/>
        <w:numPr>
          <w:ilvl w:val="0"/>
          <w:numId w:val="2"/>
        </w:numPr>
        <w:spacing w:after="70" w:line="276"/>
      </w:pPr>
      <w:r>
        <w:rPr>
          <w:rFonts w:ascii="Calibri" w:cs="Calibri" w:eastAsia="Calibri" w:hAnsi="Calibri"/>
          <w:b/>
          <w:bCs/>
          <w:sz w:val="21"/>
          <w:szCs w:val="21"/>
        </w:rPr>
        <w:t xml:space="preserve">People Offline — </w:t>
      </w:r>
      <w:r>
        <w:rPr>
          <w:rFonts w:ascii="Calibri" w:cs="Calibri" w:eastAsia="Calibri" w:hAnsi="Calibri"/>
          <w:sz w:val="21"/>
          <w:szCs w:val="21"/>
        </w:rPr>
        <w:t xml:space="preserve">Population × (1 − Internet Users % / 100), converting a rate into an absolute count.</w:t>
      </w:r>
    </w:p>
    <w:p>
      <w:pPr>
        <w:pStyle w:val="ListParagraph"/>
        <w:numPr>
          <w:ilvl w:val="0"/>
          <w:numId w:val="2"/>
        </w:numPr>
        <w:spacing w:after="70" w:line="276"/>
      </w:pPr>
      <w:r>
        <w:rPr>
          <w:rFonts w:ascii="Calibri" w:cs="Calibri" w:eastAsia="Calibri" w:hAnsi="Calibri"/>
          <w:b/>
          <w:bCs/>
          <w:sz w:val="21"/>
          <w:szCs w:val="21"/>
        </w:rPr>
        <w:t xml:space="preserve">Latest Year — </w:t>
      </w:r>
      <w:r>
        <w:rPr>
          <w:rFonts w:ascii="Calibri" w:cs="Calibri" w:eastAsia="Calibri" w:hAnsi="Calibri"/>
          <w:sz w:val="21"/>
          <w:szCs w:val="21"/>
        </w:rPr>
        <w:t xml:space="preserve">the most recent year in the data, used to keep KPI cards current automatically.</w:t>
      </w:r>
    </w:p>
    <w:p>
      <w:pPr>
        <w:spacing w:after="60" w:line="276"/>
      </w:pPr>
      <w:r>
        <w:rPr>
          <w:rFonts w:ascii="Calibri" w:cs="Calibri" w:eastAsia="Calibri" w:hAnsi="Calibri"/>
          <w:sz w:val="21"/>
          <w:szCs w:val="21"/>
        </w:rPr>
        <w:t xml:space="preserve">These measures feed a three-page interactive Power BI dashboard: an Overview page with KPI cards and trend lines, a Country Comparison page with ranked bars and a GDP-versus-internet scatter, and an Insights page summarising the findings. Slicers for country and year drive all visuals.</w:t>
      </w:r>
    </w:p>
    <w:p>
      <w:r>
        <w:br w:type="page"/>
      </w:r>
    </w:p>
    <w:p>
      <w:pPr>
        <w:pStyle w:val="Heading1"/>
        <w:spacing w:after="110" w:before="240"/>
      </w:pPr>
      <w:r>
        <w:rPr>
          <w:rFonts w:ascii="Calibri" w:cs="Calibri" w:eastAsia="Calibri" w:hAnsi="Calibri"/>
          <w:b/>
          <w:bCs/>
          <w:color w:val="1F4E79"/>
          <w:sz w:val="28"/>
          <w:szCs w:val="28"/>
        </w:rPr>
        <w:t xml:space="preserve">5. Key Findings</w:t>
      </w:r>
    </w:p>
    <w:p>
      <w:pPr>
        <w:spacing w:after="120" w:line="276"/>
      </w:pPr>
      <w:r>
        <w:rPr>
          <w:rFonts w:ascii="Calibri" w:cs="Calibri" w:eastAsia="Calibri" w:hAnsi="Calibri"/>
          <w:i/>
          <w:iCs/>
          <w:color w:val="595959"/>
          <w:sz w:val="21"/>
          <w:szCs w:val="21"/>
        </w:rPr>
        <w:t xml:space="preserve">All figures are for 2024, the latest complete year in the dataset.</w:t>
      </w:r>
    </w:p>
    <w:p>
      <w:pPr>
        <w:pStyle w:val="Heading2"/>
        <w:spacing w:after="90" w:before="180"/>
      </w:pPr>
      <w:r>
        <w:rPr>
          <w:rFonts w:ascii="Calibri" w:cs="Calibri" w:eastAsia="Calibri" w:hAnsi="Calibri"/>
          <w:b/>
          <w:bCs/>
          <w:color w:val="1F4E79"/>
          <w:sz w:val="23"/>
          <w:szCs w:val="23"/>
        </w:rPr>
        <w:t xml:space="preserve">5.1 Snapshot of the nine entities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300"/>
        <w:gridCol w:w="1200"/>
        <w:gridCol w:w="1300"/>
      </w:tblGrid>
      <w:tr>
        <w:tc>
          <w:tcPr>
            <w:tcW w:type="dxa" w:w="2400"/>
            <w:shd w:fill="1F4E79"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Entity</w:t>
            </w:r>
          </w:p>
        </w:tc>
        <w:tc>
          <w:tcPr>
            <w:tcW w:type="dxa" w:w="1200"/>
            <w:shd w:fill="1F4E79" w:color="auto" w:val="clear"/>
            <w:tcMar>
              <w:top w:type="dxa" w:w="50"/>
              <w:left w:type="dxa" w:w="90"/>
              <w:bottom w:type="dxa" w:w="50"/>
              <w:right w:type="dxa" w:w="90"/>
            </w:tcMar>
          </w:tcPr>
          <w:p>
            <w:pPr>
              <w:spacing w:after="0"/>
              <w:jc w:val="right"/>
            </w:pPr>
            <w:r>
              <w:rPr>
                <w:rFonts w:ascii="Calibri" w:cs="Calibri" w:eastAsia="Calibri" w:hAnsi="Calibri"/>
                <w:b/>
                <w:bCs/>
                <w:color w:val="FFFFFF"/>
                <w:sz w:val="19"/>
                <w:szCs w:val="19"/>
              </w:rPr>
              <w:t xml:space="preserve">Internet %</w:t>
            </w:r>
          </w:p>
        </w:tc>
        <w:tc>
          <w:tcPr>
            <w:tcW w:type="dxa" w:w="1300"/>
            <w:shd w:fill="1F4E79" w:color="auto" w:val="clear"/>
            <w:tcMar>
              <w:top w:type="dxa" w:w="50"/>
              <w:left w:type="dxa" w:w="90"/>
              <w:bottom w:type="dxa" w:w="50"/>
              <w:right w:type="dxa" w:w="90"/>
            </w:tcMar>
          </w:tcPr>
          <w:p>
            <w:pPr>
              <w:spacing w:after="0"/>
              <w:jc w:val="right"/>
            </w:pPr>
            <w:r>
              <w:rPr>
                <w:rFonts w:ascii="Calibri" w:cs="Calibri" w:eastAsia="Calibri" w:hAnsi="Calibri"/>
                <w:b/>
                <w:bCs/>
                <w:color w:val="FFFFFF"/>
                <w:sz w:val="19"/>
                <w:szCs w:val="19"/>
              </w:rPr>
              <w:t xml:space="preserve">Mobile /100</w:t>
            </w:r>
          </w:p>
        </w:tc>
        <w:tc>
          <w:tcPr>
            <w:tcW w:type="dxa" w:w="1200"/>
            <w:shd w:fill="1F4E79" w:color="auto" w:val="clear"/>
            <w:tcMar>
              <w:top w:type="dxa" w:w="50"/>
              <w:left w:type="dxa" w:w="90"/>
              <w:bottom w:type="dxa" w:w="50"/>
              <w:right w:type="dxa" w:w="90"/>
            </w:tcMar>
          </w:tcPr>
          <w:p>
            <w:pPr>
              <w:spacing w:after="0"/>
              <w:jc w:val="right"/>
            </w:pPr>
            <w:r>
              <w:rPr>
                <w:rFonts w:ascii="Calibri" w:cs="Calibri" w:eastAsia="Calibri" w:hAnsi="Calibri"/>
                <w:b/>
                <w:bCs/>
                <w:color w:val="FFFFFF"/>
                <w:sz w:val="19"/>
                <w:szCs w:val="19"/>
              </w:rPr>
              <w:t xml:space="preserve">Adoption Gap</w:t>
            </w:r>
          </w:p>
        </w:tc>
        <w:tc>
          <w:tcPr>
            <w:tcW w:type="dxa" w:w="1300"/>
            <w:shd w:fill="1F4E79" w:color="auto" w:val="clear"/>
            <w:tcMar>
              <w:top w:type="dxa" w:w="50"/>
              <w:left w:type="dxa" w:w="90"/>
              <w:bottom w:type="dxa" w:w="50"/>
              <w:right w:type="dxa" w:w="90"/>
            </w:tcMar>
          </w:tcPr>
          <w:p>
            <w:pPr>
              <w:spacing w:after="0"/>
              <w:jc w:val="right"/>
            </w:pPr>
            <w:r>
              <w:rPr>
                <w:rFonts w:ascii="Calibri" w:cs="Calibri" w:eastAsia="Calibri" w:hAnsi="Calibri"/>
                <w:b/>
                <w:bCs/>
                <w:color w:val="FFFFFF"/>
                <w:sz w:val="19"/>
                <w:szCs w:val="19"/>
              </w:rPr>
              <w:t xml:space="preserve">Elec %</w:t>
            </w:r>
          </w:p>
        </w:tc>
      </w:tr>
      <w:tr>
        <w:tc>
          <w:tcPr>
            <w:tcW w:type="dxa" w:w="2400"/>
            <w:tcMar>
              <w:top w:type="dxa" w:w="50"/>
              <w:left w:type="dxa" w:w="90"/>
              <w:bottom w:type="dxa" w:w="50"/>
              <w:right w:type="dxa" w:w="90"/>
            </w:tcMar>
          </w:tcPr>
          <w:p>
            <w:pPr>
              <w:spacing w:after="0"/>
            </w:pPr>
            <w:r>
              <w:rPr>
                <w:rFonts w:ascii="Calibri" w:cs="Calibri" w:eastAsia="Calibri" w:hAnsi="Calibri"/>
                <w:b/>
                <w:bCs/>
                <w:sz w:val="19"/>
                <w:szCs w:val="19"/>
              </w:rPr>
              <w:t xml:space="preserve">South Africa</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78.4</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179.3</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101.0</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90.2</w:t>
            </w:r>
          </w:p>
        </w:tc>
      </w:tr>
      <w:tr>
        <w:tc>
          <w:tcPr>
            <w:tcW w:type="dxa" w:w="2400"/>
            <w:tcMar>
              <w:top w:type="dxa" w:w="50"/>
              <w:left w:type="dxa" w:w="90"/>
              <w:bottom w:type="dxa" w:w="50"/>
              <w:right w:type="dxa" w:w="90"/>
            </w:tcMar>
          </w:tcPr>
          <w:p>
            <w:pPr>
              <w:spacing w:after="0"/>
            </w:pPr>
            <w:r>
              <w:rPr>
                <w:rFonts w:ascii="Calibri" w:cs="Calibri" w:eastAsia="Calibri" w:hAnsi="Calibri"/>
                <w:b/>
                <w:bCs/>
                <w:sz w:val="19"/>
                <w:szCs w:val="19"/>
              </w:rPr>
              <w:t xml:space="preserve">Egypt</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74.6</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97.1</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22.5</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100.0</w:t>
            </w:r>
          </w:p>
        </w:tc>
      </w:tr>
      <w:tr>
        <w:tc>
          <w:tcPr>
            <w:tcW w:type="dxa" w:w="2400"/>
            <w:tcMar>
              <w:top w:type="dxa" w:w="50"/>
              <w:left w:type="dxa" w:w="90"/>
              <w:bottom w:type="dxa" w:w="50"/>
              <w:right w:type="dxa" w:w="90"/>
            </w:tcMar>
          </w:tcPr>
          <w:p>
            <w:pPr>
              <w:spacing w:after="0"/>
            </w:pPr>
            <w:r>
              <w:rPr>
                <w:rFonts w:ascii="Calibri" w:cs="Calibri" w:eastAsia="Calibri" w:hAnsi="Calibri"/>
                <w:b/>
                <w:bCs/>
                <w:sz w:val="19"/>
                <w:szCs w:val="19"/>
              </w:rPr>
              <w:t xml:space="preserve">Ghana</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72.2</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113.6</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41.5</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91.9</w:t>
            </w:r>
          </w:p>
        </w:tc>
      </w:tr>
      <w:tr>
        <w:tc>
          <w:tcPr>
            <w:tcW w:type="dxa" w:w="2400"/>
            <w:tcMar>
              <w:top w:type="dxa" w:w="50"/>
              <w:left w:type="dxa" w:w="90"/>
              <w:bottom w:type="dxa" w:w="50"/>
              <w:right w:type="dxa" w:w="90"/>
            </w:tcMar>
          </w:tcPr>
          <w:p>
            <w:pPr>
              <w:spacing w:after="0"/>
            </w:pPr>
            <w:r>
              <w:rPr>
                <w:rFonts w:ascii="Calibri" w:cs="Calibri" w:eastAsia="Calibri" w:hAnsi="Calibri"/>
                <w:b/>
                <w:bCs/>
                <w:sz w:val="19"/>
                <w:szCs w:val="19"/>
              </w:rPr>
              <w:t xml:space="preserve">Nigeria</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41.2</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70.8</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29.6</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62.5</w:t>
            </w:r>
          </w:p>
        </w:tc>
      </w:tr>
      <w:tr>
        <w:tc>
          <w:tcPr>
            <w:tcW w:type="dxa" w:w="2400"/>
            <w:tcMar>
              <w:top w:type="dxa" w:w="50"/>
              <w:left w:type="dxa" w:w="90"/>
              <w:bottom w:type="dxa" w:w="50"/>
              <w:right w:type="dxa" w:w="90"/>
            </w:tcMar>
          </w:tcPr>
          <w:p>
            <w:pPr>
              <w:spacing w:after="0"/>
            </w:pPr>
            <w:r>
              <w:rPr>
                <w:rFonts w:ascii="Calibri" w:cs="Calibri" w:eastAsia="Calibri" w:hAnsi="Calibri"/>
                <w:b/>
                <w:bCs/>
                <w:sz w:val="19"/>
                <w:szCs w:val="19"/>
              </w:rPr>
              <w:t xml:space="preserve">Kenya</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35.0</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126.5</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91.5</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77.0</w:t>
            </w:r>
          </w:p>
        </w:tc>
      </w:tr>
      <w:tr>
        <w:tc>
          <w:tcPr>
            <w:tcW w:type="dxa" w:w="2400"/>
            <w:tcMar>
              <w:top w:type="dxa" w:w="50"/>
              <w:left w:type="dxa" w:w="90"/>
              <w:bottom w:type="dxa" w:w="50"/>
              <w:right w:type="dxa" w:w="90"/>
            </w:tcMar>
          </w:tcPr>
          <w:p>
            <w:pPr>
              <w:spacing w:after="0"/>
            </w:pPr>
            <w:r>
              <w:rPr>
                <w:rFonts w:ascii="Calibri" w:cs="Calibri" w:eastAsia="Calibri" w:hAnsi="Calibri"/>
                <w:b/>
                <w:bCs/>
                <w:sz w:val="19"/>
                <w:szCs w:val="19"/>
              </w:rPr>
              <w:t xml:space="preserve">Rwanda</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31.7</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93.2</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61.5</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72.0</w:t>
            </w:r>
          </w:p>
        </w:tc>
      </w:tr>
      <w:tr>
        <w:tc>
          <w:tcPr>
            <w:tcW w:type="dxa" w:w="2400"/>
            <w:tcMar>
              <w:top w:type="dxa" w:w="50"/>
              <w:left w:type="dxa" w:w="90"/>
              <w:bottom w:type="dxa" w:w="50"/>
              <w:right w:type="dxa" w:w="90"/>
            </w:tcMar>
          </w:tcPr>
          <w:p>
            <w:pPr>
              <w:spacing w:after="0"/>
            </w:pPr>
            <w:r>
              <w:rPr>
                <w:rFonts w:ascii="Calibri" w:cs="Calibri" w:eastAsia="Calibri" w:hAnsi="Calibri"/>
                <w:b/>
                <w:bCs/>
                <w:sz w:val="19"/>
                <w:szCs w:val="19"/>
              </w:rPr>
              <w:t xml:space="preserve">Sub-Saharan Africa</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33.6</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89.2</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55.6</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55.1</w:t>
            </w:r>
          </w:p>
        </w:tc>
      </w:tr>
      <w:tr>
        <w:tc>
          <w:tcPr>
            <w:tcW w:type="dxa" w:w="2400"/>
            <w:tcMar>
              <w:top w:type="dxa" w:w="50"/>
              <w:left w:type="dxa" w:w="90"/>
              <w:bottom w:type="dxa" w:w="50"/>
              <w:right w:type="dxa" w:w="90"/>
            </w:tcMar>
          </w:tcPr>
          <w:p>
            <w:pPr>
              <w:spacing w:after="0"/>
            </w:pPr>
            <w:r>
              <w:rPr>
                <w:rFonts w:ascii="Calibri" w:cs="Calibri" w:eastAsia="Calibri" w:hAnsi="Calibri"/>
                <w:b/>
                <w:bCs/>
                <w:sz w:val="19"/>
                <w:szCs w:val="19"/>
              </w:rPr>
              <w:t xml:space="preserve">World</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71.2</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110.4</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39.2</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91.9</w:t>
            </w:r>
          </w:p>
        </w:tc>
      </w:tr>
      <w:tr>
        <w:tc>
          <w:tcPr>
            <w:tcW w:type="dxa" w:w="2400"/>
            <w:tcMar>
              <w:top w:type="dxa" w:w="50"/>
              <w:left w:type="dxa" w:w="90"/>
              <w:bottom w:type="dxa" w:w="50"/>
              <w:right w:type="dxa" w:w="90"/>
            </w:tcMar>
          </w:tcPr>
          <w:p>
            <w:pPr>
              <w:spacing w:after="0"/>
            </w:pPr>
            <w:r>
              <w:rPr>
                <w:rFonts w:ascii="Calibri" w:cs="Calibri" w:eastAsia="Calibri" w:hAnsi="Calibri"/>
                <w:b/>
                <w:bCs/>
                <w:sz w:val="19"/>
                <w:szCs w:val="19"/>
              </w:rPr>
              <w:t xml:space="preserve">High income</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93.0</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138.5</w:t>
            </w:r>
          </w:p>
        </w:tc>
        <w:tc>
          <w:tcPr>
            <w:tcW w:type="dxa" w:w="12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45.5</w:t>
            </w:r>
          </w:p>
        </w:tc>
        <w:tc>
          <w:tcPr>
            <w:tcW w:type="dxa" w:w="13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100.0</w:t>
            </w:r>
          </w:p>
        </w:tc>
      </w:tr>
    </w:tbl>
    <w:p>
      <w:pPr>
        <w:spacing w:after="40" w:line="276"/>
      </w:pPr>
      <w:r>
        <w:rPr>
          <w:rFonts w:ascii="Calibri" w:cs="Calibri" w:eastAsia="Calibri" w:hAnsi="Calibri"/>
          <w:sz w:val="21"/>
          <w:szCs w:val="21"/>
        </w:rPr>
        <w:t xml:space="preserve"/>
      </w:r>
    </w:p>
    <w:p>
      <w:pPr>
        <w:pStyle w:val="Heading2"/>
        <w:spacing w:after="90" w:before="180"/>
      </w:pPr>
      <w:r>
        <w:rPr>
          <w:rFonts w:ascii="Calibri" w:cs="Calibri" w:eastAsia="Calibri" w:hAnsi="Calibri"/>
          <w:b/>
          <w:bCs/>
          <w:color w:val="1F4E79"/>
          <w:sz w:val="23"/>
          <w:szCs w:val="23"/>
        </w:rPr>
        <w:t xml:space="preserve">5.2 The mobile-internet gap is large and universal</w:t>
      </w:r>
    </w:p>
    <w:p>
      <w:pPr>
        <w:spacing w:after="120" w:line="276"/>
      </w:pPr>
      <w:r>
        <w:rPr>
          <w:rFonts w:ascii="Calibri" w:cs="Calibri" w:eastAsia="Calibri" w:hAnsi="Calibri"/>
          <w:sz w:val="21"/>
          <w:szCs w:val="21"/>
        </w:rPr>
        <w:t xml:space="preserve">In every African entity, mobile subscriptions far exceed internet usage. South Africa has 179 mobile subscriptions per 100 people but only 78% internet usage — an adoption gap of 101. Kenya is the starkest case: 127 mobile subscriptions per 100 people against just 35% online. Owning a phone has not meant being connected.</w:t>
      </w:r>
    </w:p>
    <w:p>
      <w:pPr>
        <w:pStyle w:val="Heading2"/>
        <w:spacing w:after="90" w:before="180"/>
      </w:pPr>
      <w:r>
        <w:rPr>
          <w:rFonts w:ascii="Calibri" w:cs="Calibri" w:eastAsia="Calibri" w:hAnsi="Calibri"/>
          <w:b/>
          <w:bCs/>
          <w:color w:val="1F4E79"/>
          <w:sz w:val="23"/>
          <w:szCs w:val="23"/>
        </w:rPr>
        <w:t xml:space="preserve">5.3 The scale of exclusion, counted in people</w:t>
      </w:r>
    </w:p>
    <w:p>
      <w:pPr>
        <w:spacing w:after="120" w:line="276"/>
      </w:pPr>
      <w:r>
        <w:rPr>
          <w:rFonts w:ascii="Calibri" w:cs="Calibri" w:eastAsia="Calibri" w:hAnsi="Calibri"/>
          <w:sz w:val="21"/>
          <w:szCs w:val="21"/>
        </w:rPr>
        <w:t xml:space="preserve">Percentages understate the problem. Converting rates into absolute numbers reveals its true size: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tblGrid>
      <w:tr>
        <w:tc>
          <w:tcPr>
            <w:tcW w:type="dxa" w:w="3200"/>
            <w:shd w:fill="1F4E79"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Entity</w:t>
            </w:r>
          </w:p>
        </w:tc>
        <w:tc>
          <w:tcPr>
            <w:tcW w:type="dxa" w:w="2400"/>
            <w:shd w:fill="1F4E79" w:color="auto" w:val="clear"/>
            <w:tcMar>
              <w:top w:type="dxa" w:w="50"/>
              <w:left w:type="dxa" w:w="90"/>
              <w:bottom w:type="dxa" w:w="50"/>
              <w:right w:type="dxa" w:w="90"/>
            </w:tcMar>
          </w:tcPr>
          <w:p>
            <w:pPr>
              <w:spacing w:after="0"/>
              <w:jc w:val="right"/>
            </w:pPr>
            <w:r>
              <w:rPr>
                <w:rFonts w:ascii="Calibri" w:cs="Calibri" w:eastAsia="Calibri" w:hAnsi="Calibri"/>
                <w:b/>
                <w:bCs/>
                <w:color w:val="FFFFFF"/>
                <w:sz w:val="19"/>
                <w:szCs w:val="19"/>
              </w:rPr>
              <w:t xml:space="preserve">Internet Usage</w:t>
            </w:r>
          </w:p>
        </w:tc>
        <w:tc>
          <w:tcPr>
            <w:tcW w:type="dxa" w:w="2400"/>
            <w:shd w:fill="1F4E79" w:color="auto" w:val="clear"/>
            <w:tcMar>
              <w:top w:type="dxa" w:w="50"/>
              <w:left w:type="dxa" w:w="90"/>
              <w:bottom w:type="dxa" w:w="50"/>
              <w:right w:type="dxa" w:w="90"/>
            </w:tcMar>
          </w:tcPr>
          <w:p>
            <w:pPr>
              <w:spacing w:after="0"/>
              <w:jc w:val="right"/>
            </w:pPr>
            <w:r>
              <w:rPr>
                <w:rFonts w:ascii="Calibri" w:cs="Calibri" w:eastAsia="Calibri" w:hAnsi="Calibri"/>
                <w:b/>
                <w:bCs/>
                <w:color w:val="FFFFFF"/>
                <w:sz w:val="19"/>
                <w:szCs w:val="19"/>
              </w:rPr>
              <w:t xml:space="preserve">People Offline</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Nigeria</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41.2%</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136.8 million</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Kenya</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35.0%</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36.7 million</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Egypt</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74.6%</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29.5 million</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South Africa</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78.4%</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13.9 million</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Rwanda</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31.7%</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9.7 million</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Ghana</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72.2%</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9.6 million</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Sub-Saharan Africa</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33.6%</w:t>
            </w:r>
          </w:p>
        </w:tc>
        <w:tc>
          <w:tcPr>
            <w:tcW w:type="dxa" w:w="2400"/>
            <w:tcMar>
              <w:top w:type="dxa" w:w="50"/>
              <w:left w:type="dxa" w:w="90"/>
              <w:bottom w:type="dxa" w:w="50"/>
              <w:right w:type="dxa" w:w="90"/>
            </w:tcMar>
          </w:tcPr>
          <w:p>
            <w:pPr>
              <w:spacing w:after="0"/>
              <w:jc w:val="right"/>
            </w:pPr>
            <w:r>
              <w:rPr>
                <w:rFonts w:ascii="Calibri" w:cs="Calibri" w:eastAsia="Calibri" w:hAnsi="Calibri"/>
                <w:b w:val="false"/>
                <w:bCs w:val="false"/>
                <w:sz w:val="19"/>
                <w:szCs w:val="19"/>
              </w:rPr>
              <w:t xml:space="preserve">857 million</w:t>
            </w:r>
          </w:p>
        </w:tc>
      </w:tr>
    </w:tbl>
    <w:p>
      <w:pPr>
        <w:spacing w:after="4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Nigeria alone has nearly 137 million people offline. Across Sub-Saharan Africa, roughly 857 million people remain unconnected.</w:t>
      </w:r>
    </w:p>
    <w:p>
      <w:pPr>
        <w:pStyle w:val="Heading2"/>
        <w:spacing w:after="90" w:before="180"/>
      </w:pPr>
      <w:r>
        <w:rPr>
          <w:rFonts w:ascii="Calibri" w:cs="Calibri" w:eastAsia="Calibri" w:hAnsi="Calibri"/>
          <w:b/>
          <w:bCs/>
          <w:color w:val="1F4E79"/>
          <w:sz w:val="23"/>
          <w:szCs w:val="23"/>
        </w:rPr>
        <w:t xml:space="preserve">5.4 Fixed broadband never arrived</w:t>
      </w:r>
    </w:p>
    <w:p>
      <w:pPr>
        <w:spacing w:after="120" w:line="276"/>
      </w:pPr>
      <w:r>
        <w:rPr>
          <w:rFonts w:ascii="Calibri" w:cs="Calibri" w:eastAsia="Calibri" w:hAnsi="Calibri"/>
          <w:sz w:val="21"/>
          <w:szCs w:val="21"/>
        </w:rPr>
        <w:t xml:space="preserve">While mobile spread everywhere, fixed broadband did not. South Africa has 5.3 fixed broadband subscriptions per 100 people; Nigeria has 0.1; high-income countries average 37.8. Africa's connectivity is almost entirely mobile, because the technology that requires physical cabling was never widely built.</w:t>
      </w:r>
    </w:p>
    <w:p>
      <w:pPr>
        <w:pStyle w:val="Heading2"/>
        <w:spacing w:after="90" w:before="180"/>
      </w:pPr>
      <w:r>
        <w:rPr>
          <w:rFonts w:ascii="Calibri" w:cs="Calibri" w:eastAsia="Calibri" w:hAnsi="Calibri"/>
          <w:b/>
          <w:bCs/>
          <w:color w:val="1F4E79"/>
          <w:sz w:val="23"/>
          <w:szCs w:val="23"/>
        </w:rPr>
        <w:t xml:space="preserve">5.5 Wealth and electricity track connectivity</w:t>
      </w:r>
    </w:p>
    <w:p>
      <w:pPr>
        <w:spacing w:after="120" w:line="276"/>
      </w:pPr>
      <w:r>
        <w:rPr>
          <w:rFonts w:ascii="Calibri" w:cs="Calibri" w:eastAsia="Calibri" w:hAnsi="Calibri"/>
          <w:sz w:val="21"/>
          <w:szCs w:val="21"/>
        </w:rPr>
        <w:t xml:space="preserve">Across the six African countries, GDP per capita and internet usage correlate strongly (0.77) — richer countries are more connected. Electricity sets the ceiling: Sub-Saharan Africa's 55% electricity access sits beneath its 34% internet usage, and no household without power can get online.</w:t>
      </w:r>
    </w:p>
    <w:p>
      <w:pPr>
        <w:pStyle w:val="Heading2"/>
        <w:spacing w:after="90" w:before="180"/>
      </w:pPr>
      <w:r>
        <w:rPr>
          <w:rFonts w:ascii="Calibri" w:cs="Calibri" w:eastAsia="Calibri" w:hAnsi="Calibri"/>
          <w:b/>
          <w:bCs/>
          <w:color w:val="1F4E79"/>
          <w:sz w:val="23"/>
          <w:szCs w:val="23"/>
        </w:rPr>
        <w:t xml:space="preserve">5.6 Rapid but slowing-at-the-margin growth</w:t>
      </w:r>
    </w:p>
    <w:p>
      <w:pPr>
        <w:spacing w:after="60" w:line="276"/>
      </w:pPr>
      <w:r>
        <w:rPr>
          <w:rFonts w:ascii="Calibri" w:cs="Calibri" w:eastAsia="Calibri" w:hAnsi="Calibri"/>
          <w:sz w:val="21"/>
          <w:szCs w:val="21"/>
        </w:rPr>
        <w:t xml:space="preserve">South Africa's internet usage rose from 5% in 2000 to 78% in 2024, and mobile subscriptions from 18 to 179 per 100 people. The growth is dramatic, but the remaining unconnected population is the hardest to reach — poorer, more rural, and less likely to have reliable electricity.</w:t>
      </w:r>
    </w:p>
    <w:p>
      <w:pPr>
        <w:pStyle w:val="Heading1"/>
        <w:spacing w:after="110" w:before="240"/>
      </w:pPr>
      <w:r>
        <w:rPr>
          <w:rFonts w:ascii="Calibri" w:cs="Calibri" w:eastAsia="Calibri" w:hAnsi="Calibri"/>
          <w:b/>
          <w:bCs/>
          <w:color w:val="1F4E79"/>
          <w:sz w:val="28"/>
          <w:szCs w:val="28"/>
        </w:rPr>
        <w:t xml:space="preserve">6. Insights</w:t>
      </w:r>
    </w:p>
    <w:p>
      <w:pPr>
        <w:pStyle w:val="ListParagraph"/>
        <w:numPr>
          <w:ilvl w:val="0"/>
          <w:numId w:val="2"/>
        </w:numPr>
        <w:spacing w:after="70" w:line="276"/>
      </w:pPr>
      <w:r>
        <w:rPr>
          <w:rFonts w:ascii="Calibri" w:cs="Calibri" w:eastAsia="Calibri" w:hAnsi="Calibri"/>
          <w:b/>
          <w:bCs/>
          <w:sz w:val="21"/>
          <w:szCs w:val="21"/>
        </w:rPr>
        <w:t xml:space="preserve">Access is not the same as adoption. </w:t>
      </w:r>
      <w:r>
        <w:rPr>
          <w:rFonts w:ascii="Calibri" w:cs="Calibri" w:eastAsia="Calibri" w:hAnsi="Calibri"/>
          <w:sz w:val="21"/>
          <w:szCs w:val="21"/>
        </w:rPr>
        <w:t xml:space="preserve">Mobile networks reach almost everyone, but reaching people with a signal has not made them internet users. The barrier has shifted from infrastructure to affordability, skills and relevant content.</w:t>
      </w:r>
    </w:p>
    <w:p>
      <w:pPr>
        <w:pStyle w:val="ListParagraph"/>
        <w:numPr>
          <w:ilvl w:val="0"/>
          <w:numId w:val="2"/>
        </w:numPr>
        <w:spacing w:after="70" w:line="276"/>
      </w:pPr>
      <w:r>
        <w:rPr>
          <w:rFonts w:ascii="Calibri" w:cs="Calibri" w:eastAsia="Calibri" w:hAnsi="Calibri"/>
          <w:b/>
          <w:bCs/>
          <w:sz w:val="21"/>
          <w:szCs w:val="21"/>
        </w:rPr>
        <w:t xml:space="preserve">The last mile is the hardest. </w:t>
      </w:r>
      <w:r>
        <w:rPr>
          <w:rFonts w:ascii="Calibri" w:cs="Calibri" w:eastAsia="Calibri" w:hAnsi="Calibri"/>
          <w:sz w:val="21"/>
          <w:szCs w:val="21"/>
        </w:rPr>
        <w:t xml:space="preserve">The countries and populations still offline are the poorest and least electrified. Each additional percentage point of connectivity is more expensive to achieve than the last.</w:t>
      </w:r>
    </w:p>
    <w:p>
      <w:pPr>
        <w:pStyle w:val="ListParagraph"/>
        <w:numPr>
          <w:ilvl w:val="0"/>
          <w:numId w:val="2"/>
        </w:numPr>
        <w:spacing w:after="70" w:line="276"/>
      </w:pPr>
      <w:r>
        <w:rPr>
          <w:rFonts w:ascii="Calibri" w:cs="Calibri" w:eastAsia="Calibri" w:hAnsi="Calibri"/>
          <w:b/>
          <w:bCs/>
          <w:sz w:val="21"/>
          <w:szCs w:val="21"/>
        </w:rPr>
        <w:t xml:space="preserve">Mobile is the only realistic channel. </w:t>
      </w:r>
      <w:r>
        <w:rPr>
          <w:rFonts w:ascii="Calibri" w:cs="Calibri" w:eastAsia="Calibri" w:hAnsi="Calibri"/>
          <w:sz w:val="21"/>
          <w:szCs w:val="21"/>
        </w:rPr>
        <w:t xml:space="preserve">With fixed broadband almost absent, any strategy to close the divide in Africa must be mobile-first — fixed-line assumptions imported from wealthy countries do not apply.</w:t>
      </w:r>
    </w:p>
    <w:p>
      <w:pPr>
        <w:pStyle w:val="ListParagraph"/>
        <w:numPr>
          <w:ilvl w:val="0"/>
          <w:numId w:val="2"/>
        </w:numPr>
        <w:spacing w:after="70" w:line="276"/>
      </w:pPr>
      <w:r>
        <w:rPr>
          <w:rFonts w:ascii="Calibri" w:cs="Calibri" w:eastAsia="Calibri" w:hAnsi="Calibri"/>
          <w:b/>
          <w:bCs/>
          <w:sz w:val="21"/>
          <w:szCs w:val="21"/>
        </w:rPr>
        <w:t xml:space="preserve">Electricity is the hidden prerequisite. </w:t>
      </w:r>
      <w:r>
        <w:rPr>
          <w:rFonts w:ascii="Calibri" w:cs="Calibri" w:eastAsia="Calibri" w:hAnsi="Calibri"/>
          <w:sz w:val="21"/>
          <w:szCs w:val="21"/>
        </w:rPr>
        <w:t xml:space="preserve">Connectivity cannot outrun the power supply. Digital inclusion and electrification are the same problem viewed from two angles.</w:t>
      </w:r>
    </w:p>
    <w:p>
      <w:pPr>
        <w:pStyle w:val="Heading1"/>
        <w:spacing w:after="110" w:before="240"/>
      </w:pPr>
      <w:r>
        <w:rPr>
          <w:rFonts w:ascii="Calibri" w:cs="Calibri" w:eastAsia="Calibri" w:hAnsi="Calibri"/>
          <w:b/>
          <w:bCs/>
          <w:color w:val="1F4E79"/>
          <w:sz w:val="28"/>
          <w:szCs w:val="28"/>
        </w:rPr>
        <w:t xml:space="preserve">7. Recommendations</w:t>
      </w:r>
    </w:p>
    <w:p>
      <w:pPr>
        <w:pStyle w:val="ListParagraph"/>
        <w:numPr>
          <w:ilvl w:val="0"/>
          <w:numId w:val="2"/>
        </w:numPr>
        <w:spacing w:after="70" w:line="276"/>
      </w:pPr>
      <w:r>
        <w:rPr>
          <w:rFonts w:ascii="Calibri" w:cs="Calibri" w:eastAsia="Calibri" w:hAnsi="Calibri"/>
          <w:sz w:val="21"/>
          <w:szCs w:val="21"/>
        </w:rPr>
        <w:t xml:space="preserve">Prioritise mobile-data affordability over new network build-out. Coverage already exists; the constraint is the cost of data relative to income. Targeted data subsidies or zero-rated essential services would convert existing coverage into actual usage.</w:t>
      </w:r>
    </w:p>
    <w:p>
      <w:pPr>
        <w:pStyle w:val="ListParagraph"/>
        <w:numPr>
          <w:ilvl w:val="0"/>
          <w:numId w:val="2"/>
        </w:numPr>
        <w:spacing w:after="70" w:line="276"/>
      </w:pPr>
      <w:r>
        <w:rPr>
          <w:rFonts w:ascii="Calibri" w:cs="Calibri" w:eastAsia="Calibri" w:hAnsi="Calibri"/>
          <w:sz w:val="21"/>
          <w:szCs w:val="21"/>
        </w:rPr>
        <w:t xml:space="preserve">Tie digital-inclusion programmes to electrification programmes. In low-access regions the two must advance together; investing in connectivity ahead of power wastes both.</w:t>
      </w:r>
    </w:p>
    <w:p>
      <w:pPr>
        <w:pStyle w:val="ListParagraph"/>
        <w:numPr>
          <w:ilvl w:val="0"/>
          <w:numId w:val="2"/>
        </w:numPr>
        <w:spacing w:after="70" w:line="276"/>
      </w:pPr>
      <w:r>
        <w:rPr>
          <w:rFonts w:ascii="Calibri" w:cs="Calibri" w:eastAsia="Calibri" w:hAnsi="Calibri"/>
          <w:sz w:val="21"/>
          <w:szCs w:val="21"/>
        </w:rPr>
        <w:t xml:space="preserve">Focus on digital-skills training for the newly-reachable. As affordability improves, usage is limited by capability. Basic digital-literacy programmes turn potential users into actual ones.</w:t>
      </w:r>
    </w:p>
    <w:p>
      <w:pPr>
        <w:pStyle w:val="ListParagraph"/>
        <w:numPr>
          <w:ilvl w:val="0"/>
          <w:numId w:val="2"/>
        </w:numPr>
        <w:spacing w:after="70" w:line="276"/>
      </w:pPr>
      <w:r>
        <w:rPr>
          <w:rFonts w:ascii="Calibri" w:cs="Calibri" w:eastAsia="Calibri" w:hAnsi="Calibri"/>
          <w:sz w:val="21"/>
          <w:szCs w:val="21"/>
        </w:rPr>
        <w:t xml:space="preserve">Treat South Africa as a near-saturation market. At 78%, further gains require reaching the difficult final fifth — rural and low-income households — through subsidised access rather than general marketing.</w:t>
      </w:r>
    </w:p>
    <w:p>
      <w:pPr>
        <w:pStyle w:val="ListParagraph"/>
        <w:numPr>
          <w:ilvl w:val="0"/>
          <w:numId w:val="2"/>
        </w:numPr>
        <w:spacing w:after="70" w:line="276"/>
      </w:pPr>
      <w:r>
        <w:rPr>
          <w:rFonts w:ascii="Calibri" w:cs="Calibri" w:eastAsia="Calibri" w:hAnsi="Calibri"/>
          <w:sz w:val="21"/>
          <w:szCs w:val="21"/>
        </w:rPr>
        <w:t xml:space="preserve">Measure people, not percentages. Policy targets framed in absolute numbers (“connect 10 million more people”) communicate the scale of the task better than percentage-point goals and keep large populations like Nigeria's in focus.</w:t>
      </w:r>
    </w:p>
    <w:p>
      <w:pPr>
        <w:pStyle w:val="Heading1"/>
        <w:spacing w:after="110" w:before="240"/>
      </w:pPr>
      <w:r>
        <w:rPr>
          <w:rFonts w:ascii="Calibri" w:cs="Calibri" w:eastAsia="Calibri" w:hAnsi="Calibri"/>
          <w:b/>
          <w:bCs/>
          <w:color w:val="1F4E79"/>
          <w:sz w:val="28"/>
          <w:szCs w:val="28"/>
        </w:rPr>
        <w:t xml:space="preserve">8. Conclusion</w:t>
      </w:r>
    </w:p>
    <w:p>
      <w:pPr>
        <w:spacing w:after="120" w:line="276"/>
      </w:pPr>
      <w:r>
        <w:rPr>
          <w:rFonts w:ascii="Calibri" w:cs="Calibri" w:eastAsia="Calibri" w:hAnsi="Calibri"/>
          <w:sz w:val="21"/>
          <w:szCs w:val="21"/>
        </w:rPr>
        <w:t xml:space="preserve">Africa's digital divide is not primarily a coverage problem. Mobile networks already reach the overwhelming majority, and mobile subscriptions frequently exceed one per person. The divide lies in the gap between having a phone and using the internet — a gap driven by affordability, electricity access, digital skills, and the near-total absence of fixed broadband.</w:t>
      </w:r>
    </w:p>
    <w:p>
      <w:pPr>
        <w:spacing w:after="120" w:line="276"/>
      </w:pPr>
      <w:r>
        <w:rPr>
          <w:rFonts w:ascii="Calibri" w:cs="Calibri" w:eastAsia="Calibri" w:hAnsi="Calibri"/>
          <w:sz w:val="21"/>
          <w:szCs w:val="21"/>
        </w:rPr>
        <w:t xml:space="preserve">South Africa has largely crossed this divide, at 78% usage, but still has 14 million people offline. Its regional peers face a far larger challenge: Sub-Saharan Africa as a whole has 857 million people unconnected. Closing that gap will depend less on building networks and more on making the networks that exist affordable, reliably powered, and usable.</w:t>
      </w:r>
    </w:p>
    <w:p>
      <w:pPr>
        <w:spacing w:after="120" w:line="276"/>
      </w:pPr>
      <w:r>
        <w:rPr>
          <w:rFonts w:ascii="Calibri" w:cs="Calibri" w:eastAsia="Calibri" w:hAnsi="Calibri"/>
          <w:sz w:val="21"/>
          <w:szCs w:val="21"/>
        </w:rPr>
        <w:t xml:space="preserve">This analysis demonstrates the full analytics workflow — extracting and reshaping a large real-world dataset, modelling it with DAX, and communicating the result through an interactive dashboard and a written report aimed at decision-makers.</w:t>
      </w:r>
    </w:p>
    <w:p>
      <w:pPr>
        <w:pBdr>
          <w:top w:val="single" w:color="BFBFBF" w:sz="6" w:space="6"/>
        </w:pBdr>
        <w:spacing w:before="180"/>
      </w:pPr>
      <w:r>
        <w:rPr>
          <w:rFonts w:ascii="Calibri" w:cs="Calibri" w:eastAsia="Calibri" w:hAnsi="Calibri"/>
          <w:i/>
          <w:iCs/>
          <w:color w:val="595959"/>
          <w:sz w:val="18"/>
          <w:szCs w:val="18"/>
        </w:rPr>
        <w:t xml:space="preserve">Limitations: WDI internet and mobile figures typically lag two to three years and are estimates, not censuses. The dataset contains no data on data pricing, urban-rural splits, or device ownership — the natural next sources for deeper analysis. This is an academic project.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2026-09-01T18:37:08.444Z</dcterms:created>
  <dcterms:modified xsi:type="dcterms:W3CDTF">2026-09-01T18:37:08.458Z</dcterms:modified>
</cp:coreProperties>
</file>

<file path=docProps/custom.xml><?xml version="1.0" encoding="utf-8"?>
<Properties xmlns="http://schemas.openxmlformats.org/officeDocument/2006/custom-properties" xmlns:vt="http://schemas.openxmlformats.org/officeDocument/2006/docPropsVTypes"/>
</file>