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20F9E" w14:textId="77777777" w:rsidR="008F7CF3" w:rsidRDefault="00000000">
      <w:pPr>
        <w:spacing w:after="40"/>
      </w:pPr>
      <w:r>
        <w:rPr>
          <w:rFonts w:ascii="Calibri" w:eastAsia="Calibri" w:hAnsi="Calibri" w:cs="Calibri"/>
          <w:b/>
          <w:bCs/>
          <w:color w:val="1F4E79"/>
          <w:sz w:val="32"/>
          <w:szCs w:val="32"/>
        </w:rPr>
        <w:t>Insight Summary</w:t>
      </w:r>
    </w:p>
    <w:p w14:paraId="211DD693" w14:textId="5D07C295" w:rsidR="008F7CF3" w:rsidRDefault="00000000">
      <w:pPr>
        <w:pBdr>
          <w:bottom w:val="single" w:sz="6" w:space="6" w:color="BFBFBF"/>
        </w:pBdr>
        <w:spacing w:after="180"/>
      </w:pPr>
      <w:r>
        <w:rPr>
          <w:rFonts w:ascii="Calibri" w:eastAsia="Calibri" w:hAnsi="Calibri" w:cs="Calibri"/>
          <w:i/>
          <w:iCs/>
          <w:color w:val="595959"/>
        </w:rPr>
        <w:t xml:space="preserve">Week 6 — Advanced Python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Analysis  |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 xml:space="preserve">  Apple Inc. (AAPL) Stock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Data  |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 xml:space="preserve">  Batch </w:t>
      </w:r>
      <w:r w:rsidR="006350A7">
        <w:rPr>
          <w:rFonts w:ascii="Calibri" w:eastAsia="Calibri" w:hAnsi="Calibri" w:cs="Calibri"/>
          <w:i/>
          <w:iCs/>
          <w:color w:val="595959"/>
        </w:rPr>
        <w:t>C</w:t>
      </w:r>
    </w:p>
    <w:p w14:paraId="10BD8565" w14:textId="77777777" w:rsidR="008F7CF3" w:rsidRDefault="00000000">
      <w:pPr>
        <w:pStyle w:val="Heading2"/>
        <w:spacing w:before="200" w:after="9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1. Dataset overview</w:t>
      </w:r>
    </w:p>
    <w:p w14:paraId="51B32BD0" w14:textId="77777777" w:rsidR="008F7CF3" w:rsidRDefault="00000000">
      <w:pPr>
        <w:spacing w:after="110" w:line="276" w:lineRule="auto"/>
      </w:pPr>
      <w:r>
        <w:rPr>
          <w:rFonts w:ascii="Calibri" w:eastAsia="Calibri" w:hAnsi="Calibri" w:cs="Calibri"/>
          <w:sz w:val="21"/>
          <w:szCs w:val="21"/>
        </w:rPr>
        <w:t xml:space="preserve">The data is Apple Inc. (AAPL) daily share price history, downloaded straight from Yahoo Finance using the </w:t>
      </w:r>
      <w:proofErr w:type="spellStart"/>
      <w:r>
        <w:rPr>
          <w:rFonts w:ascii="Calibri" w:eastAsia="Calibri" w:hAnsi="Calibri" w:cs="Calibri"/>
          <w:sz w:val="21"/>
          <w:szCs w:val="21"/>
        </w:rPr>
        <w:t>yfinance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library in Python. It covers 2 January 2015 to 11 August 2026, which is 2,918 trading days over about 11.6 years.</w:t>
      </w:r>
    </w:p>
    <w:p w14:paraId="61A4A646" w14:textId="77777777" w:rsidR="008F7CF3" w:rsidRDefault="00000000">
      <w:pPr>
        <w:spacing w:after="110" w:line="276" w:lineRule="auto"/>
      </w:pPr>
      <w:r>
        <w:rPr>
          <w:rFonts w:ascii="Calibri" w:eastAsia="Calibri" w:hAnsi="Calibri" w:cs="Calibri"/>
          <w:sz w:val="21"/>
          <w:szCs w:val="21"/>
        </w:rPr>
        <w:t>Each row is one trading day and has seven values: Date, Open, High, Low, Close, Adjusted Close and Volume.</w:t>
      </w:r>
    </w:p>
    <w:p w14:paraId="048BB1DC" w14:textId="77777777" w:rsidR="008F7CF3" w:rsidRDefault="00000000">
      <w:pPr>
        <w:spacing w:after="110" w:line="276" w:lineRule="auto"/>
      </w:pPr>
      <w:r>
        <w:rPr>
          <w:rFonts w:ascii="Calibri" w:eastAsia="Calibri" w:hAnsi="Calibri" w:cs="Calibri"/>
          <w:sz w:val="21"/>
          <w:szCs w:val="21"/>
        </w:rPr>
        <w:t>All return calculations use Adjusted Close instead of Close. Adjusted Close is corrected for dividends and share splits. Apple did a 4-for-1 split in August 2020, and if raw Close were used, that split would look like the share price crashing 75% in one day.</w:t>
      </w:r>
    </w:p>
    <w:p w14:paraId="7E330402" w14:textId="77777777" w:rsidR="008F7CF3" w:rsidRDefault="00000000">
      <w:pPr>
        <w:pStyle w:val="Heading2"/>
        <w:spacing w:before="200" w:after="9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2. Data transformation applied</w:t>
      </w:r>
    </w:p>
    <w:p w14:paraId="062DBEAF" w14:textId="77777777" w:rsidR="008F7CF3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Fixing the column structure: </w:t>
      </w:r>
      <w:proofErr w:type="spellStart"/>
      <w:r>
        <w:rPr>
          <w:rFonts w:ascii="Calibri" w:eastAsia="Calibri" w:hAnsi="Calibri" w:cs="Calibri"/>
          <w:sz w:val="21"/>
          <w:szCs w:val="21"/>
        </w:rPr>
        <w:t>yfinance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returns the columns in two layers (a price layer and a ticker layer). This was flattened into one layer first, because normal column operations do not work properly until it is done.</w:t>
      </w:r>
    </w:p>
    <w:p w14:paraId="23F90017" w14:textId="77777777" w:rsidR="008F7CF3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Cleaning checks: </w:t>
      </w:r>
      <w:r>
        <w:rPr>
          <w:rFonts w:ascii="Calibri" w:eastAsia="Calibri" w:hAnsi="Calibri" w:cs="Calibri"/>
          <w:sz w:val="21"/>
          <w:szCs w:val="21"/>
        </w:rPr>
        <w:t xml:space="preserve">checked for missing values, duplicate rows and duplicate dates. None were found. Rows were sorted by </w:t>
      </w:r>
      <w:proofErr w:type="gramStart"/>
      <w:r>
        <w:rPr>
          <w:rFonts w:ascii="Calibri" w:eastAsia="Calibri" w:hAnsi="Calibri" w:cs="Calibri"/>
          <w:sz w:val="21"/>
          <w:szCs w:val="21"/>
        </w:rPr>
        <w:t>date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and all columns were forced to numeric type.</w:t>
      </w:r>
    </w:p>
    <w:p w14:paraId="228534E5" w14:textId="77777777" w:rsidR="008F7CF3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Logic check: </w:t>
      </w:r>
      <w:r>
        <w:rPr>
          <w:rFonts w:ascii="Calibri" w:eastAsia="Calibri" w:hAnsi="Calibri" w:cs="Calibri"/>
          <w:sz w:val="21"/>
          <w:szCs w:val="21"/>
        </w:rPr>
        <w:t>tested whether High was ever below Low, or Close outside the High-Low range. No rows failed, so the price data is internally consistent.</w:t>
      </w:r>
    </w:p>
    <w:p w14:paraId="6B4AF40E" w14:textId="77777777" w:rsidR="008F7CF3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New columns: </w:t>
      </w:r>
      <w:r>
        <w:rPr>
          <w:rFonts w:ascii="Calibri" w:eastAsia="Calibri" w:hAnsi="Calibri" w:cs="Calibri"/>
          <w:sz w:val="21"/>
          <w:szCs w:val="21"/>
        </w:rPr>
        <w:t>daily change in dollars, daily change as a percentage, and an Up/Down label for each day.</w:t>
      </w:r>
    </w:p>
    <w:p w14:paraId="3581A623" w14:textId="77777777" w:rsidR="008F7CF3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Date columns: </w:t>
      </w:r>
      <w:r>
        <w:rPr>
          <w:rFonts w:ascii="Calibri" w:eastAsia="Calibri" w:hAnsi="Calibri" w:cs="Calibri"/>
          <w:sz w:val="21"/>
          <w:szCs w:val="21"/>
        </w:rPr>
        <w:t xml:space="preserve">year, month name and day name were pulled out of the date so the data could be grouped by </w:t>
      </w:r>
      <w:proofErr w:type="gramStart"/>
      <w:r>
        <w:rPr>
          <w:rFonts w:ascii="Calibri" w:eastAsia="Calibri" w:hAnsi="Calibri" w:cs="Calibri"/>
          <w:sz w:val="21"/>
          <w:szCs w:val="21"/>
        </w:rPr>
        <w:t>time period</w:t>
      </w:r>
      <w:proofErr w:type="gramEnd"/>
      <w:r>
        <w:rPr>
          <w:rFonts w:ascii="Calibri" w:eastAsia="Calibri" w:hAnsi="Calibri" w:cs="Calibri"/>
          <w:sz w:val="21"/>
          <w:szCs w:val="21"/>
        </w:rPr>
        <w:t>.</w:t>
      </w:r>
    </w:p>
    <w:p w14:paraId="49CF59AA" w14:textId="77777777" w:rsidR="008F7CF3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Grouping: </w:t>
      </w:r>
      <w:r>
        <w:rPr>
          <w:rFonts w:ascii="Calibri" w:eastAsia="Calibri" w:hAnsi="Calibri" w:cs="Calibri"/>
          <w:sz w:val="21"/>
          <w:szCs w:val="21"/>
        </w:rPr>
        <w:t>grouped by year to get the start price, end price, average volume, volatility and total return for each of the 12 years.</w:t>
      </w:r>
    </w:p>
    <w:p w14:paraId="32AFBD81" w14:textId="77777777" w:rsidR="008F7CF3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Sorting and filtering: </w:t>
      </w:r>
      <w:r>
        <w:rPr>
          <w:rFonts w:ascii="Calibri" w:eastAsia="Calibri" w:hAnsi="Calibri" w:cs="Calibri"/>
          <w:sz w:val="21"/>
          <w:szCs w:val="21"/>
        </w:rPr>
        <w:t xml:space="preserve">used </w:t>
      </w:r>
      <w:proofErr w:type="spellStart"/>
      <w:r>
        <w:rPr>
          <w:rFonts w:ascii="Calibri" w:eastAsia="Calibri" w:hAnsi="Calibri" w:cs="Calibri"/>
          <w:sz w:val="21"/>
          <w:szCs w:val="21"/>
        </w:rPr>
        <w:t>nlargest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and </w:t>
      </w:r>
      <w:proofErr w:type="spellStart"/>
      <w:r>
        <w:rPr>
          <w:rFonts w:ascii="Calibri" w:eastAsia="Calibri" w:hAnsi="Calibri" w:cs="Calibri"/>
          <w:sz w:val="21"/>
          <w:szCs w:val="21"/>
        </w:rPr>
        <w:t>nsmallest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to find the ten best and ten worst </w:t>
      </w:r>
      <w:proofErr w:type="gramStart"/>
      <w:r>
        <w:rPr>
          <w:rFonts w:ascii="Calibri" w:eastAsia="Calibri" w:hAnsi="Calibri" w:cs="Calibri"/>
          <w:sz w:val="21"/>
          <w:szCs w:val="21"/>
        </w:rPr>
        <w:t>days, and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filtered for days that moved more than 5%.</w:t>
      </w:r>
    </w:p>
    <w:p w14:paraId="1B05C32D" w14:textId="77777777" w:rsidR="008F7CF3" w:rsidRDefault="00000000">
      <w:pPr>
        <w:pStyle w:val="Heading2"/>
        <w:spacing w:before="200" w:after="9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3. Key numbers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2600"/>
        <w:gridCol w:w="1500"/>
      </w:tblGrid>
      <w:tr w:rsidR="008F7CF3" w14:paraId="7F113A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1D497F" w14:textId="77777777" w:rsidR="008F7CF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Measure</w:t>
            </w:r>
          </w:p>
        </w:tc>
        <w:tc>
          <w:tcPr>
            <w:tcW w:w="1500" w:type="dxa"/>
            <w:shd w:val="clear" w:color="auto" w:fill="1F4E7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9997729" w14:textId="77777777" w:rsidR="008F7CF3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</w:t>
            </w:r>
          </w:p>
        </w:tc>
        <w:tc>
          <w:tcPr>
            <w:tcW w:w="2600" w:type="dxa"/>
            <w:shd w:val="clear" w:color="auto" w:fill="1F4E7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7D3A8F" w14:textId="77777777" w:rsidR="008F7CF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Measure</w:t>
            </w:r>
          </w:p>
        </w:tc>
        <w:tc>
          <w:tcPr>
            <w:tcW w:w="1500" w:type="dxa"/>
            <w:shd w:val="clear" w:color="auto" w:fill="1F4E7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3C518C" w14:textId="77777777" w:rsidR="008F7CF3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</w:t>
            </w:r>
          </w:p>
        </w:tc>
      </w:tr>
      <w:tr w:rsidR="008F7CF3" w14:paraId="4AFFAC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2F5AE80" w14:textId="77777777" w:rsidR="008F7CF3" w:rsidRDefault="00000000">
            <w:r>
              <w:rPr>
                <w:rFonts w:ascii="Calibri" w:eastAsia="Calibri" w:hAnsi="Calibri" w:cs="Calibri"/>
              </w:rPr>
              <w:t>Start price (2015)</w:t>
            </w:r>
          </w:p>
        </w:tc>
        <w:tc>
          <w:tcPr>
            <w:tcW w:w="15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345651" w14:textId="77777777" w:rsidR="008F7CF3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</w:rPr>
              <w:t>$24.17</w:t>
            </w:r>
          </w:p>
        </w:tc>
        <w:tc>
          <w:tcPr>
            <w:tcW w:w="26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E037E5" w14:textId="77777777" w:rsidR="008F7CF3" w:rsidRDefault="00000000">
            <w:r>
              <w:rPr>
                <w:rFonts w:ascii="Calibri" w:eastAsia="Calibri" w:hAnsi="Calibri" w:cs="Calibri"/>
              </w:rPr>
              <w:t>Daily volatility</w:t>
            </w:r>
          </w:p>
        </w:tc>
        <w:tc>
          <w:tcPr>
            <w:tcW w:w="15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CD1733" w14:textId="77777777" w:rsidR="008F7CF3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</w:rPr>
              <w:t>1.81%</w:t>
            </w:r>
          </w:p>
        </w:tc>
      </w:tr>
      <w:tr w:rsidR="008F7CF3" w14:paraId="42DDA0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7D6ACE" w14:textId="77777777" w:rsidR="008F7CF3" w:rsidRDefault="00000000">
            <w:r>
              <w:rPr>
                <w:rFonts w:ascii="Calibri" w:eastAsia="Calibri" w:hAnsi="Calibri" w:cs="Calibri"/>
              </w:rPr>
              <w:t>End price (2026)</w:t>
            </w:r>
          </w:p>
        </w:tc>
        <w:tc>
          <w:tcPr>
            <w:tcW w:w="15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77319B" w14:textId="77777777" w:rsidR="008F7CF3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</w:rPr>
              <w:t>$304.91</w:t>
            </w:r>
          </w:p>
        </w:tc>
        <w:tc>
          <w:tcPr>
            <w:tcW w:w="26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AB7002A" w14:textId="77777777" w:rsidR="008F7CF3" w:rsidRDefault="00000000">
            <w:r>
              <w:rPr>
                <w:rFonts w:ascii="Calibri" w:eastAsia="Calibri" w:hAnsi="Calibri" w:cs="Calibri"/>
              </w:rPr>
              <w:t>Biggest one-day gain</w:t>
            </w:r>
          </w:p>
        </w:tc>
        <w:tc>
          <w:tcPr>
            <w:tcW w:w="15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8E4AEF" w14:textId="77777777" w:rsidR="008F7CF3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</w:rPr>
              <w:t>+15.33%</w:t>
            </w:r>
          </w:p>
        </w:tc>
      </w:tr>
      <w:tr w:rsidR="008F7CF3" w14:paraId="66C505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B61054A" w14:textId="77777777" w:rsidR="008F7CF3" w:rsidRDefault="00000000">
            <w:r>
              <w:rPr>
                <w:rFonts w:ascii="Calibri" w:eastAsia="Calibri" w:hAnsi="Calibri" w:cs="Calibri"/>
              </w:rPr>
              <w:t>Total return</w:t>
            </w:r>
          </w:p>
        </w:tc>
        <w:tc>
          <w:tcPr>
            <w:tcW w:w="15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14B37C" w14:textId="77777777" w:rsidR="008F7CF3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</w:rPr>
              <w:t>1,161.4%</w:t>
            </w:r>
          </w:p>
        </w:tc>
        <w:tc>
          <w:tcPr>
            <w:tcW w:w="26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9368074" w14:textId="77777777" w:rsidR="008F7CF3" w:rsidRDefault="00000000">
            <w:r>
              <w:rPr>
                <w:rFonts w:ascii="Calibri" w:eastAsia="Calibri" w:hAnsi="Calibri" w:cs="Calibri"/>
              </w:rPr>
              <w:t>Biggest one-day fall</w:t>
            </w:r>
          </w:p>
        </w:tc>
        <w:tc>
          <w:tcPr>
            <w:tcW w:w="15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EAA4E8" w14:textId="77777777" w:rsidR="008F7CF3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</w:rPr>
              <w:t>-12.86%</w:t>
            </w:r>
          </w:p>
        </w:tc>
      </w:tr>
      <w:tr w:rsidR="008F7CF3" w14:paraId="0DEB24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780DA0" w14:textId="77777777" w:rsidR="008F7CF3" w:rsidRDefault="00000000">
            <w:r>
              <w:rPr>
                <w:rFonts w:ascii="Calibri" w:eastAsia="Calibri" w:hAnsi="Calibri" w:cs="Calibri"/>
              </w:rPr>
              <w:t>Growth per year (CAGR)</w:t>
            </w:r>
          </w:p>
        </w:tc>
        <w:tc>
          <w:tcPr>
            <w:tcW w:w="15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BAF810D" w14:textId="77777777" w:rsidR="008F7CF3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</w:rPr>
              <w:t>24.41%</w:t>
            </w:r>
          </w:p>
        </w:tc>
        <w:tc>
          <w:tcPr>
            <w:tcW w:w="26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F6A5F8" w14:textId="77777777" w:rsidR="008F7CF3" w:rsidRDefault="00000000">
            <w:r>
              <w:rPr>
                <w:rFonts w:ascii="Calibri" w:eastAsia="Calibri" w:hAnsi="Calibri" w:cs="Calibri"/>
              </w:rPr>
              <w:t>Largest fall from peak</w:t>
            </w:r>
          </w:p>
        </w:tc>
        <w:tc>
          <w:tcPr>
            <w:tcW w:w="15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49D131" w14:textId="77777777" w:rsidR="008F7CF3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</w:rPr>
              <w:t>-38.52%</w:t>
            </w:r>
          </w:p>
        </w:tc>
      </w:tr>
      <w:tr w:rsidR="008F7CF3" w14:paraId="4F8F19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D801AF" w14:textId="77777777" w:rsidR="008F7CF3" w:rsidRDefault="00000000">
            <w:r>
              <w:rPr>
                <w:rFonts w:ascii="Calibri" w:eastAsia="Calibri" w:hAnsi="Calibri" w:cs="Calibri"/>
              </w:rPr>
              <w:t>Best year</w:t>
            </w:r>
          </w:p>
        </w:tc>
        <w:tc>
          <w:tcPr>
            <w:tcW w:w="15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9C54B8C" w14:textId="77777777" w:rsidR="008F7CF3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</w:rPr>
              <w:t>2019 (+88.7%)</w:t>
            </w:r>
          </w:p>
        </w:tc>
        <w:tc>
          <w:tcPr>
            <w:tcW w:w="26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0F023CF" w14:textId="77777777" w:rsidR="008F7CF3" w:rsidRDefault="00000000">
            <w:r>
              <w:rPr>
                <w:rFonts w:ascii="Calibri" w:eastAsia="Calibri" w:hAnsi="Calibri" w:cs="Calibri"/>
              </w:rPr>
              <w:t>Up days</w:t>
            </w:r>
          </w:p>
        </w:tc>
        <w:tc>
          <w:tcPr>
            <w:tcW w:w="15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9A8FE6" w14:textId="77777777" w:rsidR="008F7CF3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</w:rPr>
              <w:t>1,550 (53.2%)</w:t>
            </w:r>
          </w:p>
        </w:tc>
      </w:tr>
      <w:tr w:rsidR="008F7CF3" w14:paraId="026042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E1D1B1" w14:textId="77777777" w:rsidR="008F7CF3" w:rsidRDefault="00000000">
            <w:r>
              <w:rPr>
                <w:rFonts w:ascii="Calibri" w:eastAsia="Calibri" w:hAnsi="Calibri" w:cs="Calibri"/>
              </w:rPr>
              <w:t>Worst year</w:t>
            </w:r>
          </w:p>
        </w:tc>
        <w:tc>
          <w:tcPr>
            <w:tcW w:w="15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36492B" w14:textId="77777777" w:rsidR="008F7CF3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</w:rPr>
              <w:t>2022 (-28.2%)</w:t>
            </w:r>
          </w:p>
        </w:tc>
        <w:tc>
          <w:tcPr>
            <w:tcW w:w="26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EA1D69B" w14:textId="77777777" w:rsidR="008F7CF3" w:rsidRDefault="00000000">
            <w:r>
              <w:rPr>
                <w:rFonts w:ascii="Calibri" w:eastAsia="Calibri" w:hAnsi="Calibri" w:cs="Calibri"/>
              </w:rPr>
              <w:t>Down days</w:t>
            </w:r>
          </w:p>
        </w:tc>
        <w:tc>
          <w:tcPr>
            <w:tcW w:w="15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1B2C5EF" w14:textId="77777777" w:rsidR="008F7CF3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</w:rPr>
              <w:t>1,361 (46.8%)</w:t>
            </w:r>
          </w:p>
        </w:tc>
      </w:tr>
      <w:tr w:rsidR="008F7CF3" w14:paraId="370111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1E62E88" w14:textId="77777777" w:rsidR="008F7CF3" w:rsidRDefault="00000000">
            <w:r>
              <w:rPr>
                <w:rFonts w:ascii="Calibri" w:eastAsia="Calibri" w:hAnsi="Calibri" w:cs="Calibri"/>
              </w:rPr>
              <w:t>Average daily volume</w:t>
            </w:r>
          </w:p>
        </w:tc>
        <w:tc>
          <w:tcPr>
            <w:tcW w:w="15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93F54B" w14:textId="77777777" w:rsidR="008F7CF3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</w:rPr>
              <w:t>108.3m</w:t>
            </w:r>
          </w:p>
        </w:tc>
        <w:tc>
          <w:tcPr>
            <w:tcW w:w="26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361F93" w14:textId="77777777" w:rsidR="008F7CF3" w:rsidRDefault="00000000">
            <w:r>
              <w:rPr>
                <w:rFonts w:ascii="Calibri" w:eastAsia="Calibri" w:hAnsi="Calibri" w:cs="Calibri"/>
              </w:rPr>
              <w:t>Days above 200-day line</w:t>
            </w:r>
          </w:p>
        </w:tc>
        <w:tc>
          <w:tcPr>
            <w:tcW w:w="15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86648BB" w14:textId="77777777" w:rsidR="008F7CF3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</w:rPr>
              <w:t>71.2%</w:t>
            </w:r>
          </w:p>
        </w:tc>
      </w:tr>
    </w:tbl>
    <w:p w14:paraId="3EFE384F" w14:textId="77777777" w:rsidR="008F7CF3" w:rsidRDefault="008F7CF3">
      <w:pPr>
        <w:spacing w:after="50" w:line="276" w:lineRule="auto"/>
      </w:pPr>
    </w:p>
    <w:p w14:paraId="39C2F38F" w14:textId="77777777" w:rsidR="008F7CF3" w:rsidRDefault="00000000">
      <w:pPr>
        <w:pStyle w:val="Heading2"/>
        <w:spacing w:before="200" w:after="9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4. Trends identified</w:t>
      </w:r>
    </w:p>
    <w:p w14:paraId="07068C05" w14:textId="77777777" w:rsidR="008F7CF3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Long-term upward trend. </w:t>
      </w:r>
      <w:r>
        <w:rPr>
          <w:rFonts w:ascii="Calibri" w:eastAsia="Calibri" w:hAnsi="Calibri" w:cs="Calibri"/>
          <w:sz w:val="21"/>
          <w:szCs w:val="21"/>
        </w:rPr>
        <w:t>Apple's price was above its 200-day average on 71.2% of all trading days. The 200-day line rose steadily across the whole period.</w:t>
      </w:r>
    </w:p>
    <w:p w14:paraId="213651D8" w14:textId="77777777" w:rsidR="008F7CF3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The growth was not steady. </w:t>
      </w:r>
      <w:r>
        <w:rPr>
          <w:rFonts w:ascii="Calibri" w:eastAsia="Calibri" w:hAnsi="Calibri" w:cs="Calibri"/>
          <w:sz w:val="21"/>
          <w:szCs w:val="21"/>
        </w:rPr>
        <w:t>The yearly table shows three negative years (2015, 2018 and 2022) mixed in with very strong ones. 2019 gained 88.7% and 2022 lost 28.2%.</w:t>
      </w:r>
    </w:p>
    <w:p w14:paraId="3BEE7D85" w14:textId="77777777" w:rsidR="008F7CF3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Volatility comes in bursts. </w:t>
      </w:r>
      <w:r>
        <w:rPr>
          <w:rFonts w:ascii="Calibri" w:eastAsia="Calibri" w:hAnsi="Calibri" w:cs="Calibri"/>
          <w:sz w:val="21"/>
          <w:szCs w:val="21"/>
        </w:rPr>
        <w:t xml:space="preserve">The rolling 30-day volatility chart is calm for long stretches and then spikes sharply. The biggest spike is in early 2020, during the COVID market crash. Calm periods follow calm </w:t>
      </w:r>
      <w:proofErr w:type="gramStart"/>
      <w:r>
        <w:rPr>
          <w:rFonts w:ascii="Calibri" w:eastAsia="Calibri" w:hAnsi="Calibri" w:cs="Calibri"/>
          <w:sz w:val="21"/>
          <w:szCs w:val="21"/>
        </w:rPr>
        <w:t>periods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and wild days follow wild days.</w:t>
      </w:r>
    </w:p>
    <w:p w14:paraId="47523E0B" w14:textId="77777777" w:rsidR="008F7CF3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lastRenderedPageBreak/>
        <w:t xml:space="preserve">Trading volume has dropped over time. </w:t>
      </w:r>
      <w:r>
        <w:rPr>
          <w:rFonts w:ascii="Calibri" w:eastAsia="Calibri" w:hAnsi="Calibri" w:cs="Calibri"/>
          <w:sz w:val="21"/>
          <w:szCs w:val="21"/>
        </w:rPr>
        <w:t>Average daily volume fell from about 207 million shares in 2015 to about 51 million in 2026, even though the share price rose. Volume also spikes on big news days.</w:t>
      </w:r>
    </w:p>
    <w:p w14:paraId="392306F6" w14:textId="77777777" w:rsidR="008F7CF3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Big moves are rare but large. </w:t>
      </w:r>
      <w:r>
        <w:rPr>
          <w:rFonts w:ascii="Calibri" w:eastAsia="Calibri" w:hAnsi="Calibri" w:cs="Calibri"/>
          <w:sz w:val="21"/>
          <w:szCs w:val="21"/>
        </w:rPr>
        <w:t>Only 54 days out of 2,918 moved more than 5% in either direction.</w:t>
      </w:r>
    </w:p>
    <w:p w14:paraId="0FCED27A" w14:textId="77777777" w:rsidR="008F7CF3" w:rsidRDefault="00000000">
      <w:pPr>
        <w:pStyle w:val="Heading2"/>
        <w:spacing w:before="200" w:after="9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5. Features created</w:t>
      </w:r>
    </w:p>
    <w:p w14:paraId="0C6D5443" w14:textId="77777777" w:rsidR="008F7CF3" w:rsidRDefault="00000000">
      <w:pPr>
        <w:spacing w:after="110" w:line="276" w:lineRule="auto"/>
      </w:pPr>
      <w:r>
        <w:rPr>
          <w:rFonts w:ascii="Calibri" w:eastAsia="Calibri" w:hAnsi="Calibri" w:cs="Calibri"/>
          <w:sz w:val="21"/>
          <w:szCs w:val="21"/>
        </w:rPr>
        <w:t>Nine new columns were built from the original seven:</w:t>
      </w:r>
    </w:p>
    <w:p w14:paraId="59463BD2" w14:textId="77777777" w:rsidR="008F7CF3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rFonts w:ascii="Calibri" w:eastAsia="Calibri" w:hAnsi="Calibri" w:cs="Calibri"/>
          <w:sz w:val="21"/>
          <w:szCs w:val="21"/>
        </w:rPr>
        <w:t>Daily_Change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the price </w:t>
      </w:r>
      <w:proofErr w:type="gramStart"/>
      <w:r>
        <w:rPr>
          <w:rFonts w:ascii="Calibri" w:eastAsia="Calibri" w:hAnsi="Calibri" w:cs="Calibri"/>
          <w:sz w:val="21"/>
          <w:szCs w:val="21"/>
        </w:rPr>
        <w:t>move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in dollars.</w:t>
      </w:r>
    </w:p>
    <w:p w14:paraId="7671CAF1" w14:textId="77777777" w:rsidR="008F7CF3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rFonts w:ascii="Calibri" w:eastAsia="Calibri" w:hAnsi="Calibri" w:cs="Calibri"/>
          <w:sz w:val="21"/>
          <w:szCs w:val="21"/>
        </w:rPr>
        <w:t>Daily_Return</w:t>
      </w:r>
      <w:proofErr w:type="spellEnd"/>
      <w:r>
        <w:rPr>
          <w:rFonts w:ascii="Calibri" w:eastAsia="Calibri" w:hAnsi="Calibri" w:cs="Calibri"/>
          <w:sz w:val="21"/>
          <w:szCs w:val="21"/>
        </w:rPr>
        <w:t>_% — the same move as a percentage, so different years can be compared fairly.</w:t>
      </w:r>
    </w:p>
    <w:p w14:paraId="06836FB9" w14:textId="77777777" w:rsidR="008F7CF3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sz w:val="21"/>
          <w:szCs w:val="21"/>
        </w:rPr>
        <w:t>MA_7, MA_30, MA_50, MA_200 — moving averages that smooth out daily noise and show the underlying direction.</w:t>
      </w:r>
    </w:p>
    <w:p w14:paraId="7B61BC88" w14:textId="77777777" w:rsidR="008F7CF3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sz w:val="21"/>
          <w:szCs w:val="21"/>
        </w:rPr>
        <w:t>Volatility_30d — how much the price swung over the last 30 days.</w:t>
      </w:r>
    </w:p>
    <w:p w14:paraId="6F8AB3AD" w14:textId="77777777" w:rsidR="008F7CF3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rFonts w:ascii="Calibri" w:eastAsia="Calibri" w:hAnsi="Calibri" w:cs="Calibri"/>
          <w:sz w:val="21"/>
          <w:szCs w:val="21"/>
        </w:rPr>
        <w:t>Volume_Ratio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today's volume divided by the 30-day average. A value of 1.0 is a normal day, 2.0 is double the usual activity.</w:t>
      </w:r>
    </w:p>
    <w:p w14:paraId="371BE0DF" w14:textId="77777777" w:rsidR="008F7CF3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sz w:val="21"/>
          <w:szCs w:val="21"/>
        </w:rPr>
        <w:t>Price_vs_MA30_% — how far the price is above or below its 30-day average.</w:t>
      </w:r>
    </w:p>
    <w:p w14:paraId="438E8994" w14:textId="77777777" w:rsidR="008F7CF3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sz w:val="21"/>
          <w:szCs w:val="21"/>
        </w:rPr>
        <w:t>Return_lag_1 — yesterday's return. This is included because any prediction model may only use information that was already available, and using same-day values would leak future information.</w:t>
      </w:r>
    </w:p>
    <w:p w14:paraId="4E40BFF1" w14:textId="77777777" w:rsidR="008F7CF3" w:rsidRDefault="00000000">
      <w:pPr>
        <w:pStyle w:val="Heading2"/>
        <w:spacing w:before="200" w:after="9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6. Key insights</w:t>
      </w:r>
    </w:p>
    <w:p w14:paraId="25105DD7" w14:textId="77777777" w:rsidR="008F7CF3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Up days barely outnumber down days. </w:t>
      </w:r>
      <w:r>
        <w:rPr>
          <w:rFonts w:ascii="Calibri" w:eastAsia="Calibri" w:hAnsi="Calibri" w:cs="Calibri"/>
          <w:sz w:val="21"/>
          <w:szCs w:val="21"/>
        </w:rPr>
        <w:t>53.2% up against 46.8% down. Apple did not grow because it rose more often, but because the up moves were bigger than the down moves.</w:t>
      </w:r>
    </w:p>
    <w:p w14:paraId="7FECBA0C" w14:textId="77777777" w:rsidR="008F7CF3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Daily risk is much larger than daily reward. </w:t>
      </w:r>
      <w:r>
        <w:rPr>
          <w:rFonts w:ascii="Calibri" w:eastAsia="Calibri" w:hAnsi="Calibri" w:cs="Calibri"/>
          <w:sz w:val="21"/>
          <w:szCs w:val="21"/>
        </w:rPr>
        <w:t>The average daily move is close to zero, while daily volatility is 1.81%. Looking at the average day tells you almost nothing useful.</w:t>
      </w:r>
    </w:p>
    <w:p w14:paraId="37AA605C" w14:textId="77777777" w:rsidR="008F7CF3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 good return figure hides a rough ride. </w:t>
      </w:r>
      <w:r>
        <w:rPr>
          <w:rFonts w:ascii="Calibri" w:eastAsia="Calibri" w:hAnsi="Calibri" w:cs="Calibri"/>
          <w:sz w:val="21"/>
          <w:szCs w:val="21"/>
        </w:rPr>
        <w:t>The 24.41% growth per year sounds smooth, but the price fell 38.52% below its peak at the worst point. Both numbers are needed to describe what really happened.</w:t>
      </w:r>
    </w:p>
    <w:p w14:paraId="1E3F88F5" w14:textId="77777777" w:rsidR="008F7CF3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Volume signals importance, not direction. </w:t>
      </w:r>
      <w:r>
        <w:rPr>
          <w:rFonts w:ascii="Calibri" w:eastAsia="Calibri" w:hAnsi="Calibri" w:cs="Calibri"/>
          <w:sz w:val="21"/>
          <w:szCs w:val="21"/>
        </w:rPr>
        <w:t>Volume spikes appear next to large moves both up and down, so heavy trading tells you something significant happened but not which way the price went.</w:t>
      </w:r>
    </w:p>
    <w:p w14:paraId="0675E930" w14:textId="77777777" w:rsidR="008F7CF3" w:rsidRDefault="00000000">
      <w:pPr>
        <w:pStyle w:val="Heading2"/>
        <w:spacing w:before="200" w:after="9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7. Recommendations</w:t>
      </w:r>
    </w:p>
    <w:p w14:paraId="747F832B" w14:textId="77777777" w:rsidR="008F7CF3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sz w:val="21"/>
          <w:szCs w:val="21"/>
        </w:rPr>
        <w:t>Always use Adjusted Close for return calculations, never raw Close, or split dates will produce false crashes.</w:t>
      </w:r>
    </w:p>
    <w:p w14:paraId="5AD7F351" w14:textId="77777777" w:rsidR="008F7CF3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sz w:val="21"/>
          <w:szCs w:val="21"/>
        </w:rPr>
        <w:t>Report growth and risk together. A CAGR figure on its own is misleading without the maximum drawdown next to it.</w:t>
      </w:r>
    </w:p>
    <w:p w14:paraId="299E5D71" w14:textId="77777777" w:rsidR="008F7CF3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sz w:val="21"/>
          <w:szCs w:val="21"/>
        </w:rPr>
        <w:t>If this data is used for prediction later, only use lagged and rolling columns such as Return_lag_1 and Volatility_30d. Same-day values will make a model look accurate when it is not.</w:t>
      </w:r>
    </w:p>
    <w:p w14:paraId="3B738AEC" w14:textId="77777777" w:rsidR="008F7CF3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sz w:val="21"/>
          <w:szCs w:val="21"/>
        </w:rPr>
        <w:t>Focus modelling on volatility rather than price direction, since volatility clearly repeats itself while daily direction looks close to random.</w:t>
      </w:r>
    </w:p>
    <w:p w14:paraId="5AA55587" w14:textId="77777777" w:rsidR="008F7CF3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sz w:val="21"/>
          <w:szCs w:val="21"/>
        </w:rPr>
        <w:t>Extend the work by comparing Apple against a market index such as the S&amp;P 500, to see how much of the movement is Apple specific and how much is the whole market moving.</w:t>
      </w:r>
    </w:p>
    <w:p w14:paraId="13CEF510" w14:textId="0DC0A8DF" w:rsidR="008F7CF3" w:rsidRDefault="008F7CF3">
      <w:pPr>
        <w:pBdr>
          <w:top w:val="single" w:sz="6" w:space="6" w:color="BFBFBF"/>
        </w:pBdr>
        <w:spacing w:before="180"/>
      </w:pPr>
    </w:p>
    <w:sectPr w:rsidR="008F7CF3">
      <w:pgSz w:w="11906" w:h="16838"/>
      <w:pgMar w:top="10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57E18"/>
    <w:multiLevelType w:val="hybridMultilevel"/>
    <w:tmpl w:val="0308B936"/>
    <w:lvl w:ilvl="0" w:tplc="E0605A46">
      <w:start w:val="1"/>
      <w:numFmt w:val="bullet"/>
      <w:lvlText w:val="●"/>
      <w:lvlJc w:val="left"/>
      <w:pPr>
        <w:ind w:left="720" w:hanging="360"/>
      </w:pPr>
    </w:lvl>
    <w:lvl w:ilvl="1" w:tplc="814EEF00">
      <w:start w:val="1"/>
      <w:numFmt w:val="bullet"/>
      <w:lvlText w:val="○"/>
      <w:lvlJc w:val="left"/>
      <w:pPr>
        <w:ind w:left="1440" w:hanging="360"/>
      </w:pPr>
    </w:lvl>
    <w:lvl w:ilvl="2" w:tplc="8D0211CC">
      <w:start w:val="1"/>
      <w:numFmt w:val="bullet"/>
      <w:lvlText w:val="■"/>
      <w:lvlJc w:val="left"/>
      <w:pPr>
        <w:ind w:left="2160" w:hanging="360"/>
      </w:pPr>
    </w:lvl>
    <w:lvl w:ilvl="3" w:tplc="2CC6185E">
      <w:start w:val="1"/>
      <w:numFmt w:val="bullet"/>
      <w:lvlText w:val="●"/>
      <w:lvlJc w:val="left"/>
      <w:pPr>
        <w:ind w:left="2880" w:hanging="360"/>
      </w:pPr>
    </w:lvl>
    <w:lvl w:ilvl="4" w:tplc="490CD8A2">
      <w:start w:val="1"/>
      <w:numFmt w:val="bullet"/>
      <w:lvlText w:val="○"/>
      <w:lvlJc w:val="left"/>
      <w:pPr>
        <w:ind w:left="3600" w:hanging="360"/>
      </w:pPr>
    </w:lvl>
    <w:lvl w:ilvl="5" w:tplc="5874DF80">
      <w:start w:val="1"/>
      <w:numFmt w:val="bullet"/>
      <w:lvlText w:val="■"/>
      <w:lvlJc w:val="left"/>
      <w:pPr>
        <w:ind w:left="4320" w:hanging="360"/>
      </w:pPr>
    </w:lvl>
    <w:lvl w:ilvl="6" w:tplc="AED493EE">
      <w:start w:val="1"/>
      <w:numFmt w:val="bullet"/>
      <w:lvlText w:val="●"/>
      <w:lvlJc w:val="left"/>
      <w:pPr>
        <w:ind w:left="5040" w:hanging="360"/>
      </w:pPr>
    </w:lvl>
    <w:lvl w:ilvl="7" w:tplc="76D67EE0">
      <w:start w:val="1"/>
      <w:numFmt w:val="bullet"/>
      <w:lvlText w:val="●"/>
      <w:lvlJc w:val="left"/>
      <w:pPr>
        <w:ind w:left="5760" w:hanging="360"/>
      </w:pPr>
    </w:lvl>
    <w:lvl w:ilvl="8" w:tplc="EC6477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0D4A9A"/>
    <w:multiLevelType w:val="hybridMultilevel"/>
    <w:tmpl w:val="8AEADCCC"/>
    <w:lvl w:ilvl="0" w:tplc="1F184ECA">
      <w:start w:val="1"/>
      <w:numFmt w:val="bullet"/>
      <w:lvlText w:val="•"/>
      <w:lvlJc w:val="left"/>
      <w:pPr>
        <w:ind w:left="403" w:hanging="259"/>
      </w:pPr>
    </w:lvl>
    <w:lvl w:ilvl="1" w:tplc="29AE64E2">
      <w:numFmt w:val="decimal"/>
      <w:lvlText w:val=""/>
      <w:lvlJc w:val="left"/>
    </w:lvl>
    <w:lvl w:ilvl="2" w:tplc="B4D85D2E">
      <w:numFmt w:val="decimal"/>
      <w:lvlText w:val=""/>
      <w:lvlJc w:val="left"/>
    </w:lvl>
    <w:lvl w:ilvl="3" w:tplc="07245BE8">
      <w:numFmt w:val="decimal"/>
      <w:lvlText w:val=""/>
      <w:lvlJc w:val="left"/>
    </w:lvl>
    <w:lvl w:ilvl="4" w:tplc="6F4AD1E4">
      <w:numFmt w:val="decimal"/>
      <w:lvlText w:val=""/>
      <w:lvlJc w:val="left"/>
    </w:lvl>
    <w:lvl w:ilvl="5" w:tplc="AC748D52">
      <w:numFmt w:val="decimal"/>
      <w:lvlText w:val=""/>
      <w:lvlJc w:val="left"/>
    </w:lvl>
    <w:lvl w:ilvl="6" w:tplc="27E049FC">
      <w:numFmt w:val="decimal"/>
      <w:lvlText w:val=""/>
      <w:lvlJc w:val="left"/>
    </w:lvl>
    <w:lvl w:ilvl="7" w:tplc="E0D29700">
      <w:numFmt w:val="decimal"/>
      <w:lvlText w:val=""/>
      <w:lvlJc w:val="left"/>
    </w:lvl>
    <w:lvl w:ilvl="8" w:tplc="88967270">
      <w:numFmt w:val="decimal"/>
      <w:lvlText w:val=""/>
      <w:lvlJc w:val="left"/>
    </w:lvl>
  </w:abstractNum>
  <w:num w:numId="1" w16cid:durableId="851070699">
    <w:abstractNumId w:val="0"/>
    <w:lvlOverride w:ilvl="0">
      <w:startOverride w:val="1"/>
    </w:lvlOverride>
  </w:num>
  <w:num w:numId="2" w16cid:durableId="1985163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CF3"/>
    <w:rsid w:val="006350A7"/>
    <w:rsid w:val="008F7CF3"/>
    <w:rsid w:val="00976563"/>
    <w:rsid w:val="00EE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8FB926"/>
  <w15:docId w15:val="{2564BD49-928F-4F4E-A803-9D2C577CC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798</Words>
  <Characters>4552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L. MATHEBULA</cp:lastModifiedBy>
  <cp:revision>2</cp:revision>
  <dcterms:created xsi:type="dcterms:W3CDTF">2026-08-12T18:08:00Z</dcterms:created>
  <dcterms:modified xsi:type="dcterms:W3CDTF">2026-08-12T18:08:00Z</dcterms:modified>
</cp:coreProperties>
</file>