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rFonts w:ascii="Lato" w:hAnsi="Lato"/>
          <w:b/>
          <w:bCs/>
          <w:sz w:val="24"/>
          <w:szCs w:val="24"/>
        </w:rPr>
        <w:t>Dictionnaire des Données :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>
          <w:b w:val="false"/>
          <w:i w:val="false"/>
          <w:i w:val="false"/>
          <w:caps w:val="false"/>
          <w:smallCaps w:val="false"/>
          <w:color w:val="1F1F1F"/>
          <w:spacing w:val="0"/>
        </w:rPr>
      </w:pPr>
      <w:r>
        <w:rPr>
          <w:rFonts w:ascii="Lato" w:hAnsi="Lato"/>
          <w:sz w:val="24"/>
          <w:szCs w:val="24"/>
        </w:rPr>
      </w:r>
    </w:p>
    <w:tbl>
      <w:tblPr>
        <w:tblW w:w="9972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3399"/>
        <w:gridCol w:w="6572"/>
      </w:tblGrid>
      <w:tr>
        <w:trPr>
          <w:tblHeader w:val="true"/>
        </w:trPr>
        <w:tc>
          <w:tcPr>
            <w:tcW w:w="3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b/>
                <w:sz w:val="24"/>
                <w:szCs w:val="24"/>
              </w:rPr>
              <w:t>Colonne</w:t>
            </w:r>
          </w:p>
        </w:tc>
        <w:tc>
          <w:tcPr>
            <w:tcW w:w="6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b/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Région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Région administrative du Cameroun.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District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District de santé spécifique au sein de la région.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Annee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Année de l'observation.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Mois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Mois de l'observation (en texte : Janvier, Février, etc.).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PRECTOTCORR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Précipitation totale corrigée pour le mois (mm).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PRECTOTCORR_SUM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Fonts w:ascii="Lato" w:hAnsi="Lato"/>
                <w:sz w:val="24"/>
                <w:szCs w:val="24"/>
              </w:rPr>
              <w:t>la même</w:t>
            </w: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PRECTOTCORR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RH2M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Humidité relative à 2 mètres (%).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T2M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Température à 2 mètres (moyenne mensuelle, °C).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T2M_MAX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Température maximale à 2 mètres (moyenne mensuelle, °C).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T2M_MIN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Température minimale à 2 mètres (moyenne mensuelle, °C).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WD10M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Direction du vent à 10 mètres.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WS10M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Vitesse du vent à 10 mètres (m/s).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ZAE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Zone agro-écologique.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Cas graves confirmes - 5 ans et plus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Nombre de cas graves de paludisme confirmés chez les personnes de 5 ans et plus.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Cas graves confirmes - Femmes enceintes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Nombre de cas graves de paludisme confirmés chez les femmes enceintes.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Cas graves confirmes - Moins 5 ans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Nombre de cas graves de paludisme confirmés chez les enfants de moins de 5 ans.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Cas simples confirmes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Nombre de cas simples de paludisme confirmés.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Doses - TPIn 1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Nombre de doses de traitement préventif intermittent (TPI) de première ligne administrées. Pour les nourissons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Doses - TPIn 2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Nombre de doses de traitement préventif intermittent (TPI) de deuxième ligne administrées. Pour les nourissons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Doses - TPIn 3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Nombre de doses de traitement préventif intermittent (TPI) de troisième ligne administrées. Pour les nourissons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Doses de TPI1_fe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Nombre de doses de TPI de première ligne administrées spécifiquement aux femmes enceintes.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Doses de TPI3_fe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Nombre de doses de TPI de troisième ligne administrées spécifiquement aux femmes enceintes.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MILDA distribuees - Femmes enceintes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Nombre de moustiquaires imprégnées à longue durée d'action (MILDA) distribuées aux femmes enceintes.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MILDA distribuees - Nourrissons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Nombre de MILDA distribuées aux nourrissons.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Pregnant_Women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Population de femmes enceintes.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SurvivingInfants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Nombre d'enfants entre 1 et 12 mois.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12_23month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Nombre d'enfants âgés de 12 à 23 mois.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DistrictPopulation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Population totale du district.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total_severe_cases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trong"/>
                <w:rFonts w:ascii="Lato" w:hAnsi="Lato"/>
                <w:sz w:val="24"/>
                <w:szCs w:val="24"/>
              </w:rPr>
              <w:t>Nouvelle colonne:</w:t>
            </w:r>
            <w:r>
              <w:rPr>
                <w:rFonts w:ascii="Lato" w:hAnsi="Lato"/>
                <w:sz w:val="24"/>
                <w:szCs w:val="24"/>
              </w:rPr>
              <w:t> Somme des cas graves confirmés (toutes catégories d'âge).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total_simple_cases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trong"/>
                <w:rFonts w:ascii="Lato" w:hAnsi="Lato"/>
                <w:sz w:val="24"/>
                <w:szCs w:val="24"/>
              </w:rPr>
              <w:t>Nouvelle colonne:</w:t>
            </w:r>
            <w:r>
              <w:rPr>
                <w:rFonts w:ascii="Lato" w:hAnsi="Lato"/>
                <w:sz w:val="24"/>
                <w:szCs w:val="24"/>
              </w:rPr>
              <w:t> Somme des cas simples confirmés.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total_cases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trong"/>
                <w:rFonts w:ascii="Lato" w:hAnsi="Lato"/>
                <w:sz w:val="24"/>
                <w:szCs w:val="24"/>
              </w:rPr>
              <w:t>Nouvelle colonne:</w:t>
            </w:r>
            <w:r>
              <w:rPr>
                <w:rFonts w:ascii="Lato" w:hAnsi="Lato"/>
                <w:sz w:val="24"/>
                <w:szCs w:val="24"/>
              </w:rPr>
              <w:t> Somme de tous les cas (graves + simples).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severe_case_ratio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trong"/>
                <w:rFonts w:ascii="Lato" w:hAnsi="Lato"/>
                <w:sz w:val="24"/>
                <w:szCs w:val="24"/>
              </w:rPr>
              <w:t>Nouvelle colonne:</w:t>
            </w:r>
            <w:r>
              <w:rPr>
                <w:rFonts w:ascii="Lato" w:hAnsi="Lato"/>
                <w:sz w:val="24"/>
                <w:szCs w:val="24"/>
              </w:rPr>
              <w:t> Ratio des cas graves par rapport au total des cas.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severe_threshold_alert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trong"/>
                <w:rFonts w:ascii="Lato" w:hAnsi="Lato"/>
                <w:sz w:val="24"/>
                <w:szCs w:val="24"/>
              </w:rPr>
              <w:t>Nouvelle colonne:</w:t>
            </w:r>
            <w:r>
              <w:rPr>
                <w:rFonts w:ascii="Lato" w:hAnsi="Lato"/>
                <w:sz w:val="24"/>
                <w:szCs w:val="24"/>
              </w:rPr>
              <w:t> Indicateur d'alerte (1 si </w:t>
            </w: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severe_case_ratio</w:t>
            </w:r>
            <w:r>
              <w:rPr>
                <w:rFonts w:ascii="Lato" w:hAnsi="Lato"/>
                <w:sz w:val="24"/>
                <w:szCs w:val="24"/>
              </w:rPr>
              <w:t> &gt; 0.15, 0 sinon).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under_2_population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trong"/>
                <w:rFonts w:ascii="Lato" w:hAnsi="Lato"/>
                <w:sz w:val="24"/>
                <w:szCs w:val="24"/>
              </w:rPr>
              <w:t>Nouvelle colonne:</w:t>
            </w:r>
            <w:r>
              <w:rPr>
                <w:rFonts w:ascii="Lato" w:hAnsi="Lato"/>
                <w:sz w:val="24"/>
                <w:szCs w:val="24"/>
              </w:rPr>
              <w:t> Somme de </w:t>
            </w: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SurvivingInfants</w:t>
            </w:r>
            <w:r>
              <w:rPr>
                <w:rFonts w:ascii="Lato" w:hAnsi="Lato"/>
                <w:sz w:val="24"/>
                <w:szCs w:val="24"/>
              </w:rPr>
              <w:t> et </w:t>
            </w: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12_23month</w:t>
            </w:r>
            <w:r>
              <w:rPr>
                <w:rFonts w:ascii="Lato" w:hAnsi="Lato"/>
                <w:sz w:val="24"/>
                <w:szCs w:val="24"/>
              </w:rPr>
              <w:t>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district_encoded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trong"/>
                <w:rFonts w:ascii="Lato" w:hAnsi="Lato"/>
                <w:sz w:val="24"/>
                <w:szCs w:val="24"/>
              </w:rPr>
              <w:t>Nouvelle colonne:</w:t>
            </w:r>
            <w:r>
              <w:rPr>
                <w:rFonts w:ascii="Lato" w:hAnsi="Lato"/>
                <w:sz w:val="24"/>
                <w:szCs w:val="24"/>
              </w:rPr>
              <w:t> Représentation numérique encodée du nom du district.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month_num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trong"/>
                <w:rFonts w:ascii="Lato" w:hAnsi="Lato"/>
                <w:sz w:val="24"/>
                <w:szCs w:val="24"/>
              </w:rPr>
              <w:t>Nouvelle colonne:</w:t>
            </w:r>
            <w:r>
              <w:rPr>
                <w:rFonts w:ascii="Lato" w:hAnsi="Lato"/>
                <w:sz w:val="24"/>
                <w:szCs w:val="24"/>
              </w:rPr>
              <w:t> Numéro du mois (1 à 12).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month_sin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trong"/>
                <w:rFonts w:ascii="Lato" w:hAnsi="Lato"/>
                <w:sz w:val="24"/>
                <w:szCs w:val="24"/>
              </w:rPr>
              <w:t>Nouvelle colonne:</w:t>
            </w:r>
            <w:r>
              <w:rPr>
                <w:rFonts w:ascii="Lato" w:hAnsi="Lato"/>
                <w:sz w:val="24"/>
                <w:szCs w:val="24"/>
              </w:rPr>
              <w:t> Composante sinus de l'encodage cyclique du mois.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month_cos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trong"/>
                <w:rFonts w:ascii="Lato" w:hAnsi="Lato"/>
                <w:sz w:val="24"/>
                <w:szCs w:val="24"/>
              </w:rPr>
              <w:t>Nouvelle colonne:</w:t>
            </w:r>
            <w:r>
              <w:rPr>
                <w:rFonts w:ascii="Lato" w:hAnsi="Lato"/>
                <w:sz w:val="24"/>
                <w:szCs w:val="24"/>
              </w:rPr>
              <w:t> Composante cosinus de l'encodage cyclique du mois.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[feature]_lag1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trong"/>
                <w:rFonts w:ascii="Lato" w:hAnsi="Lato"/>
                <w:sz w:val="24"/>
                <w:szCs w:val="24"/>
              </w:rPr>
              <w:t>Nouvelle colonne:</w:t>
            </w:r>
            <w:r>
              <w:rPr>
                <w:rFonts w:ascii="Lato" w:hAnsi="Lato"/>
                <w:sz w:val="24"/>
                <w:szCs w:val="24"/>
              </w:rPr>
              <w:t> Valeur de la </w:t>
            </w: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feature</w:t>
            </w:r>
            <w:r>
              <w:rPr>
                <w:rFonts w:ascii="Lato" w:hAnsi="Lato"/>
                <w:sz w:val="24"/>
                <w:szCs w:val="24"/>
              </w:rPr>
              <w:t> correspondante décalée d'un mois en arrière pour chaque district.</w:t>
            </w:r>
          </w:p>
        </w:tc>
      </w:tr>
      <w:tr>
        <w:trPr/>
        <w:tc>
          <w:tcPr>
            <w:tcW w:w="3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[feature]_lag2</w:t>
            </w:r>
          </w:p>
        </w:tc>
        <w:tc>
          <w:tcPr>
            <w:tcW w:w="657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trong"/>
                <w:rFonts w:ascii="Lato" w:hAnsi="Lato"/>
                <w:sz w:val="24"/>
                <w:szCs w:val="24"/>
              </w:rPr>
              <w:t>Nouvelle colonne:</w:t>
            </w:r>
            <w:r>
              <w:rPr>
                <w:rFonts w:ascii="Lato" w:hAnsi="Lato"/>
                <w:sz w:val="24"/>
                <w:szCs w:val="24"/>
              </w:rPr>
              <w:t> Valeur de la </w:t>
            </w:r>
            <w:r>
              <w:rPr>
                <w:rStyle w:val="SourceText"/>
                <w:rFonts w:ascii="Lato" w:hAnsi="Lato"/>
                <w:sz w:val="24"/>
                <w:szCs w:val="24"/>
                <w:bdr w:val="single" w:sz="2" w:space="1" w:color="000000"/>
              </w:rPr>
              <w:t>feature</w:t>
            </w:r>
            <w:r>
              <w:rPr>
                <w:rFonts w:ascii="Lato" w:hAnsi="Lato"/>
                <w:sz w:val="24"/>
                <w:szCs w:val="24"/>
              </w:rPr>
              <w:t> correspondante décalée de deux mois en arrière pour chaque district.</w:t>
            </w:r>
          </w:p>
        </w:tc>
      </w:tr>
    </w:tbl>
    <w:p>
      <w:pPr>
        <w:pStyle w:val="BodyText"/>
        <w:widowControl/>
        <w:bidi w:val="0"/>
        <w:ind w:hanging="0" w:start="0" w:end="0"/>
        <w:jc w:val="start"/>
        <w:rPr>
          <w:rStyle w:val="Emphasis"/>
          <w:rFonts w:ascii="Lato" w:hAnsi="Lato"/>
          <w:b w:val="false"/>
          <w:i w:val="false"/>
          <w:i w:val="false"/>
          <w:caps w:val="false"/>
          <w:smallCaps w:val="false"/>
          <w:color w:val="1F1F1F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Emphasis"/>
          <w:rFonts w:ascii="Lato" w:hAnsi="Lato"/>
          <w:b/>
          <w:bCs/>
          <w:i w:val="false"/>
          <w:caps w:val="false"/>
          <w:smallCaps w:val="false"/>
          <w:color w:val="1F1F1F"/>
          <w:spacing w:val="0"/>
          <w:sz w:val="24"/>
          <w:szCs w:val="24"/>
        </w:rPr>
        <w:t>Note</w:t>
      </w:r>
      <w:r>
        <w:rPr>
          <w:rStyle w:val="Emphasis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</w:rPr>
        <w:t xml:space="preserve"> : Les colonnes avec </w:t>
      </w:r>
      <w:r>
        <w:rPr>
          <w:rStyle w:val="SourceText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  <w:bdr w:val="single" w:sz="2" w:space="1" w:color="000000"/>
        </w:rPr>
        <w:t>_lag1</w:t>
      </w:r>
      <w:r>
        <w:rPr>
          <w:rStyle w:val="Emphasis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</w:rPr>
        <w:t> ou </w:t>
      </w:r>
      <w:r>
        <w:rPr>
          <w:rStyle w:val="SourceText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  <w:bdr w:val="single" w:sz="2" w:space="1" w:color="000000"/>
        </w:rPr>
        <w:t>_lag2</w:t>
      </w:r>
      <w:r>
        <w:rPr>
          <w:rStyle w:val="Emphasis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</w:rPr>
        <w:t> sont créées dynamiquement pour les fonctionnalités </w:t>
      </w:r>
      <w:r>
        <w:rPr>
          <w:rStyle w:val="SourceText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  <w:bdr w:val="single" w:sz="2" w:space="1" w:color="000000"/>
        </w:rPr>
        <w:t>PRECTOTCORR</w:t>
      </w:r>
      <w:r>
        <w:rPr>
          <w:rStyle w:val="Emphasis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</w:rPr>
        <w:t>, </w:t>
      </w:r>
      <w:r>
        <w:rPr>
          <w:rStyle w:val="SourceText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  <w:bdr w:val="single" w:sz="2" w:space="1" w:color="000000"/>
        </w:rPr>
        <w:t>T2M</w:t>
      </w:r>
      <w:r>
        <w:rPr>
          <w:rStyle w:val="Emphasis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</w:rPr>
        <w:t>, </w:t>
      </w:r>
      <w:r>
        <w:rPr>
          <w:rStyle w:val="SourceText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  <w:bdr w:val="single" w:sz="2" w:space="1" w:color="000000"/>
        </w:rPr>
        <w:t>T2M_MAX</w:t>
      </w:r>
      <w:r>
        <w:rPr>
          <w:rStyle w:val="Emphasis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</w:rPr>
        <w:t>, </w:t>
      </w:r>
      <w:r>
        <w:rPr>
          <w:rStyle w:val="SourceText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  <w:bdr w:val="single" w:sz="2" w:space="1" w:color="000000"/>
        </w:rPr>
        <w:t>T2M_MIN</w:t>
      </w:r>
      <w:r>
        <w:rPr>
          <w:rStyle w:val="Emphasis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</w:rPr>
        <w:t>, </w:t>
      </w:r>
      <w:r>
        <w:rPr>
          <w:rStyle w:val="SourceText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  <w:bdr w:val="single" w:sz="2" w:space="1" w:color="000000"/>
        </w:rPr>
        <w:t>RH2M</w:t>
      </w:r>
      <w:r>
        <w:rPr>
          <w:rStyle w:val="Emphasis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</w:rPr>
        <w:t>, </w:t>
      </w:r>
      <w:r>
        <w:rPr>
          <w:rStyle w:val="SourceText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  <w:bdr w:val="single" w:sz="2" w:space="1" w:color="000000"/>
        </w:rPr>
        <w:t>MILDA distribuees - Femmes enceintes</w:t>
      </w:r>
      <w:r>
        <w:rPr>
          <w:rStyle w:val="Emphasis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</w:rPr>
        <w:t>, et </w:t>
      </w:r>
      <w:r>
        <w:rPr>
          <w:rStyle w:val="SourceText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  <w:bdr w:val="single" w:sz="2" w:space="1" w:color="000000"/>
        </w:rPr>
        <w:t>MILDA distribuees - Nourrissons</w:t>
      </w:r>
      <w:r>
        <w:rPr>
          <w:rStyle w:val="Emphasis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</w:rPr>
        <w:t>.</w:t>
      </w:r>
    </w:p>
    <w:p>
      <w:pPr>
        <w:pStyle w:val="Normal"/>
        <w:bidi w:val="0"/>
        <w:jc w:val="start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ato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83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2</Pages>
  <Words>477</Words>
  <Characters>2863</Characters>
  <CharactersWithSpaces>3256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2026-06-18T10:12:08Z</dcterms:created>
  <dc:creator/>
  <dc:description/>
  <dc:language>en-US</dc:language>
  <cp:lastModifiedBy/>
  <dcterms:modified xsi:type="dcterms:W3CDTF">2026-06-18T10:33:51Z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