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>1:</w:t>
      </w:r>
      <w:r>
        <w:rPr>
          <w:rFonts w:hint="eastAsia" w:ascii="Courier New" w:hAnsi="Courier New"/>
          <w:color w:val="000000"/>
          <w:sz w:val="20"/>
          <w:u w:val="single"/>
        </w:rPr>
        <w:t>loadbalancing</w:t>
      </w:r>
      <w:r>
        <w:rPr>
          <w:rFonts w:hint="eastAsia" w:ascii="Courier New" w:hAnsi="Courier New"/>
          <w:sz w:val="20"/>
        </w:rPr>
        <w:t xml:space="preserve"> 负载均衡算法</w:t>
      </w:r>
    </w:p>
    <w:p>
      <w:r>
        <w:rPr>
          <w:rFonts w:hint="eastAsia" w:ascii="Courier New" w:hAnsi="Courier New"/>
          <w:sz w:val="20"/>
        </w:rPr>
        <w:t xml:space="preserve">  轮询、随机、hash、权重轮询、权重随机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F337E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tangdingyi</dc:creator>
  <cp:lastModifiedBy>tangdingyi</cp:lastModifiedBy>
  <dcterms:modified xsi:type="dcterms:W3CDTF">2016-09-29T12:53:05Z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