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58955">
      <w:pPr>
        <w:spacing w:before="480" w:after="480" w:line="288" w:lineRule="auto"/>
        <w:ind w:left="0"/>
      </w:pPr>
      <w:bookmarkStart w:id="24" w:name="_GoBack"/>
      <w:bookmarkEnd w:id="24"/>
      <w:r>
        <w:rPr>
          <w:rFonts w:ascii="Arial" w:hAnsi="Arial" w:eastAsia="等线" w:cs="Arial"/>
          <w:b/>
          <w:sz w:val="52"/>
        </w:rPr>
        <w:t>知识产权时空证明协议（Intellectual Property Space-Time Proof Protocol）</w:t>
      </w:r>
    </w:p>
    <w:p w14:paraId="6824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作者</w:t>
      </w:r>
      <w:r>
        <w:rPr>
          <w:rFonts w:ascii="Arial" w:hAnsi="Arial" w:eastAsia="等线" w:cs="Arial"/>
          <w:sz w:val="22"/>
        </w:rPr>
        <w:t>：李志军（SGT 空能引力理论项目组）</w:t>
      </w:r>
    </w:p>
    <w:p w14:paraId="76C53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ORCID</w:t>
      </w:r>
      <w:r>
        <w:rPr>
          <w:rFonts w:ascii="Arial" w:hAnsi="Arial" w:eastAsia="等线" w:cs="Arial"/>
          <w:sz w:val="22"/>
        </w:rPr>
        <w:t>：https://orcid.org/0009-0004-8456-7107</w:t>
      </w:r>
    </w:p>
    <w:p w14:paraId="0CA0D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联系方式</w:t>
      </w:r>
      <w:r>
        <w:rPr>
          <w:rFonts w:ascii="Arial" w:hAnsi="Arial" w:eastAsia="等线" w:cs="Arial"/>
          <w:sz w:val="22"/>
        </w:rPr>
        <w:t>：zhijundi@qq.com、lizhijun@yuantai.ac.cn</w:t>
      </w:r>
    </w:p>
    <w:p w14:paraId="2356967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摘要</w:t>
      </w:r>
      <w:bookmarkEnd w:id="0"/>
    </w:p>
    <w:p w14:paraId="5208A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针对现代科研公开与知识产权保护的结构性冲突，本文正式发布</w:t>
      </w:r>
      <w:r>
        <w:rPr>
          <w:rFonts w:ascii="Arial" w:hAnsi="Arial" w:eastAsia="等线" w:cs="Arial"/>
          <w:b/>
          <w:sz w:val="22"/>
        </w:rPr>
        <w:t>知识产权时空证明协议（IPSTP v1.0）</w:t>
      </w:r>
      <w:r>
        <w:rPr>
          <w:rFonts w:ascii="Arial" w:hAnsi="Arial" w:eastAsia="等线" w:cs="Arial"/>
          <w:sz w:val="22"/>
        </w:rPr>
        <w:t>。本文属于</w:t>
      </w:r>
      <w:r>
        <w:rPr>
          <w:rFonts w:ascii="Arial" w:hAnsi="Arial" w:eastAsia="等线" w:cs="Arial"/>
          <w:b/>
          <w:sz w:val="22"/>
        </w:rPr>
        <w:t>工程实操导向的标准化协议论文</w:t>
      </w:r>
      <w:r>
        <w:rPr>
          <w:rFonts w:ascii="Arial" w:hAnsi="Arial" w:eastAsia="等线" w:cs="Arial"/>
          <w:sz w:val="22"/>
        </w:rPr>
        <w:t>，核心目的是提供可直接落地、可存证、可司法采信的科研成果分层披露与确权规范。本协议正本</w:t>
      </w:r>
      <w:r>
        <w:rPr>
          <w:rFonts w:ascii="Arial" w:hAnsi="Arial" w:eastAsia="等线" w:cs="Arial"/>
          <w:b/>
          <w:sz w:val="22"/>
        </w:rPr>
        <w:t>首发于 GitHub 开源仓库</w:t>
      </w:r>
      <w:r>
        <w:rPr>
          <w:rFonts w:ascii="Arial" w:hAnsi="Arial" w:eastAsia="等线" w:cs="Arial"/>
          <w:sz w:val="22"/>
        </w:rPr>
        <w:t>，为唯一原生基准版本。</w:t>
      </w:r>
    </w:p>
    <w:p w14:paraId="4C59C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精准适配条件–结论型理论系统（CCTS）。该类系统的核心特征为：固定约束条件可唯一确定科学结论，成果有效性不依赖具体计算路径与工程实现。基于该特性，IPSTP 建立 A/B/C 三层分离披露体系、空间哈希锚定、可信时间锚定、可验证披露事件（VDE）机制，实现</w:t>
      </w:r>
      <w:r>
        <w:rPr>
          <w:rFonts w:ascii="Arial" w:hAnsi="Arial" w:eastAsia="等线" w:cs="Arial"/>
          <w:b/>
          <w:sz w:val="22"/>
        </w:rPr>
        <w:t>结论公开可复现、推导实现可保密、首发时序可固化、知识产权可举证</w:t>
      </w:r>
      <w:r>
        <w:rPr>
          <w:rFonts w:ascii="Arial" w:hAnsi="Arial" w:eastAsia="等线" w:cs="Arial"/>
          <w:sz w:val="22"/>
        </w:rPr>
        <w:t>的实操范式。</w:t>
      </w:r>
    </w:p>
    <w:p w14:paraId="7B624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本协议不创设新的法律条文与权利体系，仅对科研发布行为进行结构化标准化，使其能够适配全球各国现有电子证据、商业秘密、学术优先权规则，形成可采信的证据链条。</w:t>
      </w:r>
    </w:p>
    <w:p w14:paraId="5C230DC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引言</w:t>
      </w:r>
      <w:bookmarkEnd w:id="1"/>
    </w:p>
    <w:p w14:paraId="6D6D8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本文研究标的物明确为：IPSTP 知识产权时空证明协议 v1.0，协议正本首发托管于 GitHub 公开仓库，为全球首个官方原生版本。</w:t>
      </w:r>
      <w:r>
        <w:rPr>
          <w:rFonts w:ascii="Arial" w:hAnsi="Arial" w:eastAsia="等线" w:cs="Arial"/>
          <w:sz w:val="22"/>
        </w:rPr>
        <w:t>本文定位为</w:t>
      </w:r>
      <w:r>
        <w:rPr>
          <w:rFonts w:ascii="Arial" w:hAnsi="Arial" w:eastAsia="等线" w:cs="Arial"/>
          <w:b/>
          <w:sz w:val="22"/>
        </w:rPr>
        <w:t>实操型规范论文</w:t>
      </w:r>
      <w:r>
        <w:rPr>
          <w:rFonts w:ascii="Arial" w:hAnsi="Arial" w:eastAsia="等线" w:cs="Arial"/>
          <w:sz w:val="22"/>
        </w:rPr>
        <w:t>，重在定义标准、统一流程、提供可落地的确权方案，弱化纯理论思辨，强化工程落地与证据保全能力。</w:t>
      </w:r>
    </w:p>
    <w:p w14:paraId="3EAC6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传统学术发表体系采用“全量公开、同行评审生效”模式，该模式适用于实验类、推导类、过程依赖型科研成果。但在理论建模、宇宙学研究、数值计算、规则类模型研究中，大量成果属于</w:t>
      </w:r>
      <w:r>
        <w:rPr>
          <w:rFonts w:ascii="Arial" w:hAnsi="Arial" w:eastAsia="等线" w:cs="Arial"/>
          <w:b/>
          <w:sz w:val="22"/>
        </w:rPr>
        <w:t>条件决定结论</w:t>
      </w:r>
      <w:r>
        <w:rPr>
          <w:rFonts w:ascii="Arial" w:hAnsi="Arial" w:eastAsia="等线" w:cs="Arial"/>
          <w:sz w:val="22"/>
        </w:rPr>
        <w:t>的确定性系统：结论稳定、可复现、与实现代码、迭代路径、优化策略无关。</w:t>
      </w:r>
    </w:p>
    <w:p w14:paraId="381F6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成果长期面临两难困境：完全公开工程实现极易导致知识产权被搬运、改写、抢先登记；完全保密又无法留下公开首发记录，丧失学术优先权与存证依据。为解决该行业长期痛点，本文落地一套可直接使用、可自动存证、可司法核验的标准化发布协议——IPSTP。</w:t>
      </w:r>
    </w:p>
    <w:p w14:paraId="60057AE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条件–结论型理论系统（CCTS）适配定义</w:t>
      </w:r>
      <w:bookmarkEnd w:id="2"/>
    </w:p>
    <w:p w14:paraId="686F8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的适用对象为条件–结论型理论系统（Condition–Conclusion Theoretical System, CCTS），满足以下标准化要素：</w:t>
      </w:r>
    </w:p>
    <w:p w14:paraId="3B38A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（1）条件集 C：可形式化定义、可复现、可界定边界的公理、参数、约束方程与前置规则；</w:t>
      </w:r>
    </w:p>
    <w:p w14:paraId="2F048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（2）约束集 B：定义系统解空间、收敛条件、结构不变量、稳定性规则，用于限定结论的有效区间与合理性；</w:t>
      </w:r>
    </w:p>
    <w:p w14:paraId="07F8D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（3）结论集 Y：由条件集与约束集唯一确定的可验证数值结果、结构规律、理论预言。</w:t>
      </w:r>
    </w:p>
    <w:p w14:paraId="7A68B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系统稳定性准则：任意多条不同工程实现路径 F₁、F₂，在合理误差范围内，最终输出结论 Y 保持一致。因此，该类成果的核心价值在于</w:t>
      </w:r>
      <w:r>
        <w:rPr>
          <w:rFonts w:ascii="Arial" w:hAnsi="Arial" w:eastAsia="等线" w:cs="Arial"/>
          <w:b/>
          <w:sz w:val="22"/>
        </w:rPr>
        <w:t>C→Y 的确定性映射关系</w:t>
      </w:r>
      <w:r>
        <w:rPr>
          <w:rFonts w:ascii="Arial" w:hAnsi="Arial" w:eastAsia="等线" w:cs="Arial"/>
          <w:sz w:val="22"/>
        </w:rPr>
        <w:t>，而非具体实现代码与计算过程。</w:t>
      </w:r>
    </w:p>
    <w:p w14:paraId="506A7E1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IPSTP 三层分层披露架构（核心规范）</w:t>
      </w:r>
      <w:bookmarkEnd w:id="3"/>
    </w:p>
    <w:p w14:paraId="4C3BC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通过强制分层，从结构上彻底解决“公开泄密、保密无证”的矛盾，形成标准化科研知识产权保全结构。</w:t>
      </w:r>
    </w:p>
    <w:p w14:paraId="4FE08CE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 A层：条件结论公开层（强制公开）</w:t>
      </w:r>
      <w:bookmarkEnd w:id="4"/>
    </w:p>
    <w:p w14:paraId="323FE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包含全部基础条件、参数体系、边界约束、最终结论与理论主张。该层为科研成果的本体声明，必须完全公开，用于对外确立研究内容、提供可核验依据、固化科学主张。</w:t>
      </w:r>
    </w:p>
    <w:p w14:paraId="6303957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3.2 B层：约束框架公开层（强制公开）</w:t>
      </w:r>
      <w:bookmarkEnd w:id="5"/>
    </w:p>
    <w:p w14:paraId="3EA164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包含系统稳定性规则、收敛条件、对称性结构、解空间约束、可复现性逻辑。该层用于证明结论的合理性与有效性，完成学术可复现闭环，</w:t>
      </w:r>
      <w:r>
        <w:rPr>
          <w:rFonts w:ascii="Arial" w:hAnsi="Arial" w:eastAsia="等线" w:cs="Arial"/>
          <w:b/>
          <w:sz w:val="22"/>
        </w:rPr>
        <w:t>不包含任何私有算法与工程实现细节</w:t>
      </w:r>
      <w:r>
        <w:rPr>
          <w:rFonts w:ascii="Arial" w:hAnsi="Arial" w:eastAsia="等线" w:cs="Arial"/>
          <w:sz w:val="22"/>
        </w:rPr>
        <w:t>。</w:t>
      </w:r>
    </w:p>
    <w:p w14:paraId="7D8D59D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3.3 C层：工程实现保密层（私有知识产权）</w:t>
      </w:r>
      <w:bookmarkEnd w:id="6"/>
    </w:p>
    <w:p w14:paraId="7AB33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包含私有算法逻辑、仿真策略、数值迭代路径、代码实现、工程优化细节。该层属于核心私有知识产权，默认不对外公开，适用商业秘密保护规则，仅在司法争议、学术仲裁、授权审计场景可选择性解密。</w:t>
      </w:r>
    </w:p>
    <w:p w14:paraId="3E2A558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 时空双锚定确权机制（证据核心）</w:t>
      </w:r>
      <w:bookmarkEnd w:id="7"/>
    </w:p>
    <w:p w14:paraId="79131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通过空间锚定+时间锚定双重机制，将普通科研发布行为转化为不可篡改、可溯源、可举证的标准化证据。</w:t>
      </w:r>
    </w:p>
    <w:p w14:paraId="00F0910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空间锚定：内容唯一性固化</w:t>
      </w:r>
      <w:bookmarkEnd w:id="8"/>
    </w:p>
    <w:p w14:paraId="264E9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 A/B 层公开文本、参数体系、约束结构、结论体系进行 SHA-256 哈希指纹固化，生成唯一数字标识。确保内容无法被篡改、替换、变造，锁定每一个版本的结构唯一性与内容真实性。</w:t>
      </w:r>
    </w:p>
    <w:p w14:paraId="2F2F3F7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 时间锚定：时序优先权固化</w:t>
      </w:r>
      <w:bookmarkEnd w:id="9"/>
    </w:p>
    <w:p w14:paraId="4BA02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通过权威平台归档时间、DOI 注册时间、可信时间戳、版本发布时间，锁定成果首次公开时刻，形成不可逆时序证据，用于界定首发优先权、现有技术边界与成果时序归属。</w:t>
      </w:r>
    </w:p>
    <w:p w14:paraId="0E0F81E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可验证披露事件（VDE）标准化定义</w:t>
      </w:r>
      <w:bookmarkEnd w:id="10"/>
    </w:p>
    <w:p w14:paraId="17A0F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当且仅当同时满足以下条件，即形成一次</w:t>
      </w:r>
      <w:r>
        <w:rPr>
          <w:rFonts w:ascii="Arial" w:hAnsi="Arial" w:eastAsia="等线" w:cs="Arial"/>
          <w:b/>
          <w:sz w:val="22"/>
        </w:rPr>
        <w:t>可验证披露事件（VDE）</w:t>
      </w:r>
      <w:r>
        <w:rPr>
          <w:rFonts w:ascii="Arial" w:hAnsi="Arial" w:eastAsia="等线" w:cs="Arial"/>
          <w:sz w:val="22"/>
        </w:rPr>
        <w:t>：A/B 层内容完整公开、文件哈希校验无误、权威第三方时间戳生效、外部研究者可独立复现与核验结论。</w:t>
      </w:r>
    </w:p>
    <w:p w14:paraId="2EC1A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VDE 是 IPSTP 的最小证据单元，不代表权属判决，仅代表一次</w:t>
      </w:r>
      <w:r>
        <w:rPr>
          <w:rFonts w:ascii="Arial" w:hAnsi="Arial" w:eastAsia="等线" w:cs="Arial"/>
          <w:b/>
          <w:sz w:val="22"/>
        </w:rPr>
        <w:t>客观、可核验、可溯源的公开时间坐标</w:t>
      </w:r>
      <w:r>
        <w:rPr>
          <w:rFonts w:ascii="Arial" w:hAnsi="Arial" w:eastAsia="等线" w:cs="Arial"/>
          <w:sz w:val="22"/>
        </w:rPr>
        <w:t>，是学术优先权与知识产权举证的核心依据。</w:t>
      </w:r>
    </w:p>
    <w:p w14:paraId="605E7CE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6. 跨法域证据适配定位</w:t>
      </w:r>
      <w:bookmarkEnd w:id="11"/>
    </w:p>
    <w:p w14:paraId="7BF65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不创设新法律权利，仅提供标准化证据结构，全面适配全球主流知识产权与电子证据体系。</w:t>
      </w:r>
    </w:p>
    <w:p w14:paraId="3BD39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英美法系下，VDE 公开记录可作为 Prior Art 现有技术凭证，C层内容适配商业秘密保护体系；欧盟体系下，符合 eIDAS 数字证据采信规则与开放科研存证规范；中国法律体系下，完全适配《电子签名法》、可信时间戳、区块链司法存证、电子数据证据司法解释；同时适配 WIPO 国际仲裁与跨境证据提交标准。</w:t>
      </w:r>
    </w:p>
    <w:p w14:paraId="78EA2E3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7. 协议落地核心逻辑</w:t>
      </w:r>
      <w:bookmarkEnd w:id="12"/>
    </w:p>
    <w:p w14:paraId="20AD1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落地核心依托分层披露、哈希空间锚定、权威时间锚定三大机制，构建标准化科研证据闭环。所有实操工具、平台资源、自动化存证范式、落地流程全部归入附录A，正文仅保留协议标准与核心定义，保持论文规范性与理论纯粹性。</w:t>
      </w:r>
    </w:p>
    <w:p w14:paraId="795313E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8. 标准化使用规范</w:t>
      </w:r>
      <w:bookmarkEnd w:id="13"/>
    </w:p>
    <w:p w14:paraId="7F64F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所有遵循 IPSTP 发布的科研成果，必须统一标注：IPSTP 协议版本、A/B/C三层结构说明、公开内容哈希值、时间戳来源、归档 DOI 信息，确保每一次公开披露均可溯源、可核验、可复现。</w:t>
      </w:r>
    </w:p>
    <w:p w14:paraId="4A8F082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9. 协议局限性说明</w:t>
      </w:r>
      <w:bookmarkEnd w:id="14"/>
    </w:p>
    <w:p w14:paraId="42F5B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不判定学术对错、不直接裁定权属、不自动判定抄袭与侵权。其唯一作用是提供一套</w:t>
      </w:r>
      <w:r>
        <w:rPr>
          <w:rFonts w:ascii="Arial" w:hAnsi="Arial" w:eastAsia="等线" w:cs="Arial"/>
          <w:b/>
          <w:sz w:val="22"/>
        </w:rPr>
        <w:t>标准化、结构化、可机器核验、可司法采信</w:t>
      </w:r>
      <w:r>
        <w:rPr>
          <w:rFonts w:ascii="Arial" w:hAnsi="Arial" w:eastAsia="等线" w:cs="Arial"/>
          <w:sz w:val="22"/>
        </w:rPr>
        <w:t>的存证与披露框架，为争议判定、优先权确权、知识产权举证提供客观有效依据。</w:t>
      </w:r>
    </w:p>
    <w:p w14:paraId="5765193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10. 结论</w:t>
      </w:r>
      <w:bookmarkEnd w:id="15"/>
    </w:p>
    <w:p w14:paraId="7436D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打破了传统科研“全公开或全保密”的二元困境，构建了一套适配条件–结论型理论系统的分层披露与时空确权体系。通过三层结构分离、时空双锚定、VDE 可验证披露机制，实现了</w:t>
      </w:r>
      <w:r>
        <w:rPr>
          <w:rFonts w:ascii="Arial" w:hAnsi="Arial" w:eastAsia="等线" w:cs="Arial"/>
          <w:b/>
          <w:sz w:val="22"/>
        </w:rPr>
        <w:t>科学结论公开可复现、工程资产私密可保全、科研发布永久可举证</w:t>
      </w:r>
      <w:r>
        <w:rPr>
          <w:rFonts w:ascii="Arial" w:hAnsi="Arial" w:eastAsia="等线" w:cs="Arial"/>
          <w:sz w:val="22"/>
        </w:rPr>
        <w:t>的现代化科研知识产权范式，为原创理论与模型成果提供了可直接落地的标准化确权方案。</w:t>
      </w:r>
    </w:p>
    <w:p w14:paraId="1B543FF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标的物开源溯源与原始发布载体</w:t>
      </w:r>
      <w:bookmarkEnd w:id="16"/>
    </w:p>
    <w:p w14:paraId="15252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IPSTP v1.0 协议为作者原创自研规范，</w:t>
      </w:r>
      <w:r>
        <w:rPr>
          <w:rFonts w:ascii="Arial" w:hAnsi="Arial" w:eastAsia="等线" w:cs="Arial"/>
          <w:b/>
          <w:sz w:val="22"/>
        </w:rPr>
        <w:t>协议正本、版本迭代、官方示范落地体系均首发托管于 GitHub 官方仓库</w:t>
      </w:r>
      <w:r>
        <w:rPr>
          <w:rFonts w:ascii="Arial" w:hAnsi="Arial" w:eastAsia="等线" w:cs="Arial"/>
          <w:sz w:val="22"/>
        </w:rPr>
        <w:t>，为本协议唯一原生基准溯源主体：https://github.com/letiangogo/IPSTP。仓库所有正式版本通过 Release 机制迭代，并联动 Zenodo 完成权威永久归档与 DOI 确权。</w:t>
      </w:r>
    </w:p>
    <w:p w14:paraId="3D68A54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协议声明</w:t>
      </w:r>
      <w:bookmarkEnd w:id="17"/>
    </w:p>
    <w:p w14:paraId="67EFD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IPSTP v1.0 由作者李志军独立提出、定义并公开发布。本协议完全开放学术研究、工程落地、二次迭代与公开引用，无基础使用限制。</w:t>
      </w:r>
    </w:p>
    <w:p w14:paraId="6A21B39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附录A：IPSTP 全套实操资源与落地范式（实操指南·非理论正文）</w:t>
      </w:r>
      <w:bookmarkEnd w:id="18"/>
    </w:p>
    <w:p w14:paraId="6B9E17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本附录为协议配套实操内容，收录全部落地工具、基础设施、平台体系与自动化存证范式，用于指导用户完整落地 IPSTP 确权流程。</w:t>
      </w:r>
    </w:p>
    <w:p w14:paraId="1206EF6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A.1 学术发布资源层（A/B层专用披露平台）</w:t>
      </w:r>
      <w:bookmarkEnd w:id="19"/>
    </w:p>
    <w:p w14:paraId="25481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 A/B 层理论与约束体系的公开披露、学术优先权确权，适配全学科场景，包含 arXiv、Zenodo、OSF、SSRN、HAL、ChemRxiv、TechRxiv、engrXiv、EarthArXiv、medRxiv、bioRxiv、Preprints.org 等主流权威预印本与开放科研平台。</w:t>
      </w:r>
    </w:p>
    <w:p w14:paraId="0A29559D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A.2 可信时间锚定资源层</w:t>
      </w:r>
      <w:bookmarkEnd w:id="20"/>
    </w:p>
    <w:p w14:paraId="6E3AB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 VDE 可验证披露事件提供权威时序固化支撑，包含 RFC 3161 标准 TSA 可信时间戳、国家授时中心时间服务、OpenTimestamps 区块链时间戳、Ethereum/Polygon 存证、WIPO Proof 数字证据服务、DOI 官方注册时间戳等采信级时序工具。</w:t>
      </w:r>
    </w:p>
    <w:p w14:paraId="714B8CC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A.3 永久存储与版本保全资源层</w:t>
      </w:r>
      <w:bookmarkEnd w:id="21"/>
    </w:p>
    <w:p w14:paraId="4B969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用于固化公开内容、锁定哈希指纹、实现永久不可篡改存证。公开体系包含 GitHub 版本管控、Zenodo（CERN）永久归档、IPFS 内容寻址、Arweave 永续存储；C 层私有工程内容统一采用本地加密冷存储模式，严格隔离公开链路。</w:t>
      </w:r>
    </w:p>
    <w:p w14:paraId="0D9673A0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A.4 官方标准全自动落地范式（GitHub + Zenodo）</w:t>
      </w:r>
      <w:bookmarkEnd w:id="22"/>
    </w:p>
    <w:p w14:paraId="4D407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本协议指定的标准化全自动落地方案，可零人工干预完成空间锚定、时间锚定、VDE 生成、双 DOI 确权完整闭环。使用者将合规 A/B 层内容托管于公开 GitHub 仓库，开启 Zenodo 自动归档权限，通过 GitHub Release 发布正式版本后，系统自动完成全链路证据固化。</w:t>
      </w:r>
    </w:p>
    <w:p w14:paraId="548DA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该范式可实现：仓库全量快照哈希固化、CERN 永久异地备份、四重权威时间戳锁定、Concept DOI 长期溯源 + Version DOI 版本精准确权、自动生成合规 VDE 可验证披露事件，完美契合 IPSTP“公开可证、私有可保、永久可溯”的核心设计。</w:t>
      </w:r>
    </w:p>
    <w:p w14:paraId="4AED15FE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A.5 司法与证据配套工具资源</w:t>
      </w:r>
      <w:bookmarkEnd w:id="23"/>
    </w:p>
    <w:p w14:paraId="7B633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用于证据固化、完整性核验与争议举证，包含电子数据鉴定、公证处电子存证、区块链司法存证、哈希校验工具、跨境仲裁证据提交体系，为知识产权与学术争议提供标准化证据支撑。</w:t>
      </w:r>
    </w:p>
    <w:p w14:paraId="10726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678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3C2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B4E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3256</Words>
  <Characters>3858</Characters>
  <TotalTime>0</TotalTime>
  <ScaleCrop>false</ScaleCrop>
  <LinksUpToDate>false</LinksUpToDate>
  <CharactersWithSpaces>3998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2026-06-05T09:04:00Z</dcterms:created>
  <dc:creator>Apache POI</dc:creator>
  <cp:lastModifiedBy>乐天</cp:lastModifiedBy>
  <dcterms:modified xsi:type="dcterms:W3CDTF">2026-06-05T09:05:20Z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{"Label":"1","ContentProducer":"001191110102MACQD9K64010000","ProduceID":"7647834785591626697","ReservedCode1":"","ContentPropagator":"","PropagateID":"","ReservedCode2":""}</vt:lpwstr>
  </property>
  <property fmtid="{D5CDD505-2E9C-101B-9397-08002B2CF9AE}" pid="3" name="KSOProductBuildVer">
    <vt:lpwstr>2052-12.1.0.26375</vt:lpwstr>
  </property>
  <property fmtid="{D5CDD505-2E9C-101B-9397-08002B2CF9AE}" pid="4" name="ICV">
    <vt:lpwstr>EAEF9DD05D264FF7BA962D64F036968A_13</vt:lpwstr>
  </property>
</Properties>
</file>