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EB5D1D4">
      <w:pPr>
        <w:pStyle w:val="28"/>
      </w:pPr>
      <w:bookmarkStart w:id="0" w:name="_GoBack"/>
      <w:r>
        <w:rPr>
          <w:b/>
          <w:bCs/>
        </w:rPr>
        <w:t>Intellectual Property Spatiotemporal Proof Protocol (IPSTP v1.0)</w:t>
      </w:r>
    </w:p>
    <w:bookmarkEnd w:id="0"/>
    <w:p w14:paraId="720EC04D">
      <w:pPr>
        <w:pStyle w:val="7"/>
      </w:pPr>
      <w:r>
        <w:rPr>
          <w:b/>
          <w:bCs/>
        </w:rPr>
        <w:t>Author</w:t>
      </w:r>
      <w:r>
        <w:t>: Li Zhijun (SGT Spatial-Pressure Gravitational Theory Project)</w:t>
      </w:r>
      <w:r>
        <w:br w:type="textWrapping"/>
      </w:r>
      <w:r>
        <w:rPr>
          <w:b/>
          <w:bCs/>
        </w:rPr>
        <w:t>ORCID</w:t>
      </w:r>
      <w:r>
        <w:t>: https://orcid.org/0009-0004-8456-7107</w:t>
      </w:r>
      <w:r>
        <w:br w:type="textWrapping"/>
      </w:r>
      <w:r>
        <w:rPr>
          <w:b/>
          <w:bCs/>
        </w:rPr>
        <w:t>Contact</w:t>
      </w:r>
      <w:r>
        <w:t>: zhijundi@qq.com, lizhijun@yuantai.ac.cn</w:t>
      </w:r>
    </w:p>
    <w:p w14:paraId="6B995664">
      <w:pPr>
        <w:pStyle w:val="7"/>
      </w:pPr>
      <w:r>
        <w:rPr>
          <w:b/>
          <w:bCs/>
        </w:rPr>
        <w:t>Abstract</w:t>
      </w:r>
    </w:p>
    <w:p w14:paraId="63D926BC">
      <w:pPr>
        <w:pStyle w:val="7"/>
      </w:pPr>
      <w:r>
        <w:t>To address the structural conflict between open scientific dissemination and intellectual property (IP) protection, this paper officially releases the Intellectual Property Spatiotemporal Proof Protocol (IPSTP v1.0). This document is an engineering-oriented standard protocol specification, with the core objective of providing a directly implementable, verifiable, and judicially admissible framework for layered disclosure and rights confirmation of scientific achievements. The official master copy of this protocol is exclusively hosted on the GitHub open-source repository, serving as the sole native baseline version.</w:t>
      </w:r>
      <w:r>
        <w:br w:type="textWrapping"/>
      </w:r>
      <w:r>
        <w:t>IPSTP is specifically designed for Condition–Conclusion Theoretical Systems (CCTS). The core characteristic of such systems is that given constraint conditions uniquely determine scientific conclusions, and the validity of the achievement does not depend on specific computational paths or engineering implementations. Based on this characteristic, IPSTP establishes an A/B/C three-layer separated disclosure system, spatial hash anchoring, trusted temporal anchoring, and a Verifiable Disclosure Event (VDE) mechanism. This realizes a practical paradigm of "publicly reproducible conclusions, confidentially protected derivations, solidified first-publication chronology, and provable intellectual property."</w:t>
      </w:r>
      <w:r>
        <w:br w:type="textWrapping"/>
      </w:r>
      <w:r>
        <w:t>This protocol does not create new legal statutes or rights systems; it merely structurally standardizes the scientific publication behavior to adapt to existing global rules on electronic evidence, trade secrets, and academic priority, forming an admissible chain of evidence.</w:t>
      </w:r>
    </w:p>
    <w:p w14:paraId="52FF62CA">
      <w:pPr>
        <w:pStyle w:val="7"/>
      </w:pPr>
      <w:r>
        <w:rPr>
          <w:b/>
          <w:bCs/>
        </w:rPr>
        <w:t>1. Introduction</w:t>
      </w:r>
    </w:p>
    <w:p w14:paraId="71018C9C">
      <w:pPr>
        <w:pStyle w:val="7"/>
      </w:pPr>
      <w:r>
        <w:t>The subject matter of this paper is explicitly defined as the Intellectual Property Spatiotemporal Proof Protocol (IPSTP v1.0). The master copy is hosted on a public GitHub repository as the world's first official native version. Positioned as a practical specification paper, this document focuses on defining standards, unifying processes, and providing implementable rights confirmation schemes, while downplaying pure theoretical speculation to strengthen engineering implementation and evidence preservation capabilities.</w:t>
      </w:r>
      <w:r>
        <w:br w:type="textWrapping"/>
      </w:r>
      <w:r>
        <w:t>The traditional academic publication system adopts a "full disclosure, peer-review validation" model, which is suitable for experimental, deductive, and process-dependent scientific achievements. However, in theoretical modeling, cosmological research, numerical computation, and rule-based model research, a vast number of achievements belong to deterministic systems where conditions dictate conclusions: the conclusions are stable, reproducible, and independent of implementation code, iteration paths, or optimization strategies.</w:t>
      </w:r>
      <w:r>
        <w:br w:type="textWrapping"/>
      </w:r>
      <w:r>
        <w:t xml:space="preserve">Such achievements have long faced a dilemma: fully disclosing engineering </w:t>
      </w:r>
      <w:r>
        <w:rPr>
          <w:rFonts w:hint="eastAsia"/>
        </w:rPr>
        <w:t>implementations极易</w:t>
      </w:r>
      <w:r>
        <w:t xml:space="preserve"> (easily) leads to IP being plagiarized, tampered with, or pre-registered; whereas complete confidentiality fails to leave a public record of first publication, resulting in the loss of academic priority and evidence basis. To resolve this long-standing industry pain point, this paper implements a standardized publication protocol—IPSTP—that is directly usable, automatically archivable, and judicially verifiable.</w:t>
      </w:r>
    </w:p>
    <w:p w14:paraId="0DA8080F">
      <w:pPr>
        <w:pStyle w:val="7"/>
      </w:pPr>
      <w:r>
        <w:rPr>
          <w:b/>
          <w:bCs/>
        </w:rPr>
        <w:t>2. Adaptation Definition for Condition–Conclusion Theoretical Systems (CCTS)</w:t>
      </w:r>
    </w:p>
    <w:p w14:paraId="32CC9260">
      <w:pPr>
        <w:pStyle w:val="7"/>
      </w:pPr>
      <w:r>
        <w:t>The applicable objects of IPSTP are Condition–Conclusion Theoretical Systems (CCTS), which satisfy the following standardized elements:</w:t>
      </w:r>
      <w:r>
        <w:br w:type="textWrapping"/>
      </w:r>
      <w:r>
        <w:t xml:space="preserve">(1) </w:t>
      </w:r>
      <w:r>
        <w:rPr>
          <w:b/>
          <w:bCs/>
        </w:rPr>
        <w:t>Condition Set (C)</w:t>
      </w:r>
      <w:r>
        <w:t>: Axioms, parameters, constraint equations, and prerequisite rules that can be formally defined, reproduced, and bounded.</w:t>
      </w:r>
      <w:r>
        <w:br w:type="textWrapping"/>
      </w:r>
      <w:r>
        <w:t xml:space="preserve">(2) </w:t>
      </w:r>
      <w:r>
        <w:rPr>
          <w:b/>
          <w:bCs/>
        </w:rPr>
        <w:t>Constraint Set (B)</w:t>
      </w:r>
      <w:r>
        <w:t>: Defines the solution space, convergence conditions, structural invariants, and stability rules, used to limit the valid interval and rationality of the conclusions.</w:t>
      </w:r>
      <w:r>
        <w:br w:type="textWrapping"/>
      </w:r>
      <w:r>
        <w:t xml:space="preserve">(3) </w:t>
      </w:r>
      <w:r>
        <w:rPr>
          <w:b/>
          <w:bCs/>
        </w:rPr>
        <w:t>Conclusion Set (Y)</w:t>
      </w:r>
      <w:r>
        <w:t>: Verifiable numerical results, structural laws, and theoretical predictions uniquely determined by the Condition Set and Constraint Set.</w:t>
      </w:r>
      <w:r>
        <w:br w:type="textWrapping"/>
      </w:r>
      <w:r>
        <w:rPr>
          <w:b/>
          <w:bCs/>
        </w:rPr>
        <w:t>System Stability Criterion</w:t>
      </w:r>
      <w:r>
        <w:t xml:space="preserve">: For any number of distinct engineering implementation paths </w:t>
      </w:r>
      <m:oMath>
        <m:sSub>
          <m:sSubPr/>
          <m:e>
            <m:r>
              <m:rPr/>
              <m:t>F</m:t>
            </m:r>
          </m:e>
          <m:sub>
            <m:r>
              <m:rPr>
                <m:sty m:val="p"/>
              </m:rPr>
              <m:t>1</m:t>
            </m:r>
          </m:sub>
        </m:sSub>
        <m:r>
          <m:rPr>
            <m:sty m:val="p"/>
          </m:rPr>
          <m:t>,</m:t>
        </m:r>
        <m:sSub>
          <m:sSubPr/>
          <m:e>
            <m:r>
              <m:rPr/>
              <m:t>F</m:t>
            </m:r>
          </m:e>
          <m:sub>
            <m:r>
              <m:rPr>
                <m:sty m:val="p"/>
              </m:rPr>
              <m:t>2</m:t>
            </m:r>
          </m:sub>
        </m:sSub>
        <m:r>
          <m:rPr>
            <m:sty m:val="p"/>
          </m:rPr>
          <m:t>,…,</m:t>
        </m:r>
        <m:sSub>
          <m:sSubPr/>
          <m:e>
            <m:r>
              <m:rPr/>
              <m:t>F</m:t>
            </m:r>
          </m:e>
          <m:sub>
            <m:r>
              <m:rPr/>
              <m:t>n</m:t>
            </m:r>
          </m:sub>
        </m:sSub>
      </m:oMath>
      <w:r>
        <w:t xml:space="preserve">, the final output conclusion Y remains consistent within a reasonable margin of error. Therefore, the core value of such achievements lies in the deterministic mapping relationship of </w:t>
      </w:r>
      <m:oMath>
        <m:r>
          <m:rPr/>
          <m:t>C</m:t>
        </m:r>
        <m:r>
          <m:rPr>
            <m:sty m:val="p"/>
          </m:rPr>
          <m:t>→</m:t>
        </m:r>
        <m:r>
          <m:rPr/>
          <m:t>Y</m:t>
        </m:r>
      </m:oMath>
      <w:r>
        <w:t>, rather than the specific implementation code and computational processes.</w:t>
      </w:r>
    </w:p>
    <w:p w14:paraId="4B551DC6">
      <w:pPr>
        <w:pStyle w:val="7"/>
      </w:pPr>
      <w:r>
        <w:rPr>
          <w:b/>
          <w:bCs/>
        </w:rPr>
        <w:t>3. IPSTP Three-Layered Disclosure Architecture (Core Specification)</w:t>
      </w:r>
    </w:p>
    <w:p w14:paraId="2E74804D">
      <w:pPr>
        <w:pStyle w:val="7"/>
      </w:pPr>
      <w:r>
        <w:t>Through mandatory layering, IPSTP structurally resolves the contradiction of "disclosure equals leakage, confidentiality equals no evidence," forming a standardized scientific IP preservation structure.</w:t>
      </w:r>
      <w:r>
        <w:br w:type="textWrapping"/>
      </w:r>
      <w:r>
        <w:rPr>
          <w:b/>
          <w:bCs/>
        </w:rPr>
        <w:t>3.1 Layer A: Condition-Conclusion Public Layer (Mandatory Disclosure)</w:t>
      </w:r>
    </w:p>
    <w:p w14:paraId="417829CD">
      <w:pPr>
        <w:pStyle w:val="7"/>
      </w:pPr>
      <w:r>
        <w:t>Contains all foundational conditions, parameter systems, boundary constraints, final conclusions, and theoretical claims. This layer is the ontological declaration of the scientific achievement and must be fully disclosed to establish research content externally, provide verifiable basis, and solidify scientific claims.</w:t>
      </w:r>
      <w:r>
        <w:br w:type="textWrapping"/>
      </w:r>
      <w:r>
        <w:rPr>
          <w:b/>
          <w:bCs/>
        </w:rPr>
        <w:t>3.2 Layer B: Constraint Framework Public Layer (Mandatory Disclosure)</w:t>
      </w:r>
    </w:p>
    <w:p w14:paraId="7385150C">
      <w:pPr>
        <w:pStyle w:val="7"/>
      </w:pPr>
      <w:r>
        <w:t>Contains system stability rules, convergence conditions, symmetry structures, solution space constraints, and reproducibility logic. This layer is used to prove the rationality and validity of the conclusions, completing the academic reproducibility loop, without containing any proprietary algorithms or engineering implementation details.</w:t>
      </w:r>
      <w:r>
        <w:br w:type="textWrapping"/>
      </w:r>
      <w:r>
        <w:rPr>
          <w:b/>
          <w:bCs/>
        </w:rPr>
        <w:t>3.3 Layer C: Engineering Implementation Confidential Layer (Proprietary IP)</w:t>
      </w:r>
    </w:p>
    <w:p w14:paraId="4EB2224C">
      <w:pPr>
        <w:pStyle w:val="7"/>
      </w:pPr>
      <w:r>
        <w:t>Contains proprietary algorithm logic, simulation strategies, numerical iteration paths, code implementation, and engineering optimization details. This layer belongs to core proprietary IP, is not disclosed by default, applies to trade secret protection rules, and is selectively decrypted only in scenarios of judicial disputes, academic arbitration, or authorized audits.</w:t>
      </w:r>
    </w:p>
    <w:p w14:paraId="6B3B84D6">
      <w:pPr>
        <w:pStyle w:val="7"/>
      </w:pPr>
      <w:r>
        <w:rPr>
          <w:b/>
          <w:bCs/>
        </w:rPr>
        <w:t>4. Spatiotemporal Dual-Anchoring Rights Confirmation Mechanism (Evidence Core)</w:t>
      </w:r>
    </w:p>
    <w:p w14:paraId="5F8E2346">
      <w:pPr>
        <w:pStyle w:val="7"/>
      </w:pPr>
      <w:r>
        <w:t>IPSTP transforms ordinary scientific publication behaviors into tamper-proof, traceable, and provable standardized evidence through a dual mechanism of spatial and temporal anchoring.</w:t>
      </w:r>
      <w:r>
        <w:br w:type="textWrapping"/>
      </w:r>
      <w:r>
        <w:rPr>
          <w:b/>
          <w:bCs/>
        </w:rPr>
        <w:t>4.1 Spatial Anchoring: Solidification of Content Uniqueness</w:t>
      </w:r>
    </w:p>
    <w:p w14:paraId="5272EE39">
      <w:pPr>
        <w:pStyle w:val="7"/>
      </w:pPr>
      <w:r>
        <w:t>The public text, parameter systems, constraint structures, and conclusion systems of Layers A/B are solidified using SHA-256 hash fingerprints to generate a unique digital identifier. This ensures content cannot be tampered with, replaced, or altered, locking in the structural uniqueness and content authenticity of every version.</w:t>
      </w:r>
      <w:r>
        <w:br w:type="textWrapping"/>
      </w:r>
      <w:r>
        <w:rPr>
          <w:b/>
          <w:bCs/>
        </w:rPr>
        <w:t>4.2 Temporal Anchoring: Solidification of Chronological Priority</w:t>
      </w:r>
    </w:p>
    <w:p w14:paraId="16C6EC8B">
      <w:pPr>
        <w:pStyle w:val="7"/>
      </w:pPr>
      <w:r>
        <w:t>Through authoritative platform archiving times, DOI registration times, trusted timestamps, and version release times, the moment of first publication is locked, forming irreversible chronological evidence used to define first-publication priority, prior art boundaries, and chronological attribution of achievements.</w:t>
      </w:r>
    </w:p>
    <w:p w14:paraId="7C663311">
      <w:pPr>
        <w:pStyle w:val="7"/>
      </w:pPr>
      <w:r>
        <w:rPr>
          <w:b/>
          <w:bCs/>
        </w:rPr>
        <w:t>5. Standardized Definition of Verifiable Disclosure Event (VDE)</w:t>
      </w:r>
    </w:p>
    <w:p w14:paraId="5980D658">
      <w:pPr>
        <w:pStyle w:val="7"/>
      </w:pPr>
      <w:r>
        <w:t>A Verifiable Disclosure Event (VDE) is formed if and only if the following conditions are simultaneously met: Layers A/B are fully disclosed, file hash verification is error-free, authoritative third-party timestamps take effect, and external researchers can independently reproduce and verify the conclusions.</w:t>
      </w:r>
      <w:r>
        <w:br w:type="textWrapping"/>
      </w:r>
      <w:r>
        <w:t xml:space="preserve">The VDE is the minimal evidence unit of IPSTP. It does not represent a judgment of ownership but represents an objective, verifiable, and traceable public time coordinate, serving as the core basis for academic priority and </w:t>
      </w:r>
      <w:r>
        <w:rPr>
          <w:rFonts w:hint="eastAsia"/>
        </w:rPr>
        <w:t>IP举证</w:t>
      </w:r>
      <w:r>
        <w:t xml:space="preserve"> (burden of proof).</w:t>
      </w:r>
    </w:p>
    <w:p w14:paraId="3B690B3D">
      <w:pPr>
        <w:pStyle w:val="7"/>
      </w:pPr>
      <w:r>
        <w:rPr>
          <w:b/>
          <w:bCs/>
        </w:rPr>
        <w:t>6. Cross-Jurisdictional Evidence Adaptation Positioning</w:t>
      </w:r>
    </w:p>
    <w:p w14:paraId="38206BEF">
      <w:pPr>
        <w:pStyle w:val="7"/>
      </w:pPr>
      <w:r>
        <w:t>IPSTP does not create new legal rights but provides a standardized evidence structure, fully adapting to mainstream global IP and electronic evidence systems.</w:t>
      </w:r>
      <w:r>
        <w:br w:type="textWrapping"/>
      </w:r>
      <w:r>
        <w:t xml:space="preserve">Under the Common Law system, VDE public records can serve as Prior Art credentials, and Layer C content adapts to the Trade Secret protection system; under the EU system, it complies with the eIDAS digital evidence admissibility rules and open science archiving norms; under the Chinese legal system, it fully adapts to the </w:t>
      </w:r>
      <w:r>
        <w:rPr>
          <w:i/>
          <w:iCs/>
        </w:rPr>
        <w:t>Electronic Signature Law</w:t>
      </w:r>
      <w:r>
        <w:t>, trusted timestamps, blockchain judicial archiving, and judicial interpretations on electronic data evidence; it also adapts to WIPO international arbitration and cross-border evidence submission standards.</w:t>
      </w:r>
    </w:p>
    <w:p w14:paraId="43207615">
      <w:pPr>
        <w:pStyle w:val="7"/>
      </w:pPr>
      <w:r>
        <w:rPr>
          <w:b/>
          <w:bCs/>
        </w:rPr>
        <w:t>7. Core Logic of Protocol Implementation</w:t>
      </w:r>
    </w:p>
    <w:p w14:paraId="542D6C3A">
      <w:pPr>
        <w:pStyle w:val="7"/>
      </w:pPr>
      <w:r>
        <w:t>The implementation core of IPSTP relies on three mechanisms: layered disclosure, hash spatial anchoring, and authoritative temporal anchoring, to build a standardized scientific evidence closed loop. All practical tools, platform resources, automated archiving paradigms, and implementation processes are included in Appendix A. The main text retains only the protocol standards and core definitions to maintain the rigor and purity of the specification.</w:t>
      </w:r>
    </w:p>
    <w:p w14:paraId="24F0F181">
      <w:pPr>
        <w:pStyle w:val="7"/>
      </w:pPr>
      <w:r>
        <w:rPr>
          <w:b/>
          <w:bCs/>
        </w:rPr>
        <w:t>8. Standardized Usage Specifications</w:t>
      </w:r>
    </w:p>
    <w:p w14:paraId="3484672C">
      <w:pPr>
        <w:pStyle w:val="7"/>
      </w:pPr>
      <w:r>
        <w:t>All scientific achievements published in compliance with IPSTP must uniformly indicate: the IPSTP protocol version, A/B/C three-layer structure description, public content hash value, timestamp source, and archived DOI information, ensuring that every public disclosure is traceable, verifiable, and reproducible.</w:t>
      </w:r>
    </w:p>
    <w:p w14:paraId="2EC4C9E8">
      <w:pPr>
        <w:pStyle w:val="7"/>
      </w:pPr>
      <w:r>
        <w:rPr>
          <w:b/>
          <w:bCs/>
        </w:rPr>
        <w:t>9. Protocol Limitations Statement</w:t>
      </w:r>
    </w:p>
    <w:p w14:paraId="62C285AC">
      <w:pPr>
        <w:pStyle w:val="7"/>
      </w:pPr>
      <w:r>
        <w:t xml:space="preserve">IPSTP does not judge academic rightness or wrongness, directly adjudicate ownership, or automatically determine plagiarism and infringement. Its sole function is to provide a standardized, structured, machine-verifiable, and judicially admissible archiving and disclosure framework, providing an objective and valid basis for dispute resolution, priority confirmation, and </w:t>
      </w:r>
      <w:r>
        <w:rPr>
          <w:rFonts w:hint="eastAsia"/>
        </w:rPr>
        <w:t>IP举证</w:t>
      </w:r>
      <w:r>
        <w:t xml:space="preserve"> (burden of proof).</w:t>
      </w:r>
    </w:p>
    <w:p w14:paraId="44544332">
      <w:pPr>
        <w:pStyle w:val="7"/>
      </w:pPr>
      <w:r>
        <w:rPr>
          <w:b/>
          <w:bCs/>
        </w:rPr>
        <w:t>10. Conclusion</w:t>
      </w:r>
    </w:p>
    <w:p w14:paraId="08155569">
      <w:pPr>
        <w:pStyle w:val="7"/>
      </w:pPr>
      <w:r>
        <w:t>IPSTP breaks the binary dilemma of "full disclosure or full confidentiality" in traditional scientific research, constructing a layered disclosure and spatiotemporal rights confirmation system adapted for Condition–Conclusion Theoretical Systems. Through three-layer structural separation, spatiotemporal dual-anchoring, and the VDE mechanism, it realizes a modernized scientific IP paradigm of "publicly reproducible scientific conclusions, confidentially preserved engineering assets, and permanently provable scientific publications," providing a directly implementable standardized rights confirmation scheme for original theories and model achievements.</w:t>
      </w:r>
    </w:p>
    <w:p w14:paraId="289325CF">
      <w:pPr>
        <w:pStyle w:val="7"/>
      </w:pPr>
      <w:r>
        <w:rPr>
          <w:b/>
          <w:bCs/>
        </w:rPr>
        <w:t>Open-Source Traceability and Original Publication Carrier of the Protocol</w:t>
      </w:r>
    </w:p>
    <w:p w14:paraId="249F60FA">
      <w:pPr>
        <w:pStyle w:val="7"/>
      </w:pPr>
      <w:r>
        <w:t>The IPSTP v1.0 protocol is an original specification independently developed by the author. The master copy, version iterations, and official demonstration implementation systems are exclusively hosted on the official GitHub repository, serving as the sole native baseline traceability entity for this protocol: https://github.com/letiangogo/IPSTP. All official versions in the repository are iterated via the Release mechanism and linked with Zenodo to complete authoritative permanent archiving and DOI confirmation.</w:t>
      </w:r>
    </w:p>
    <w:p w14:paraId="1F78025F">
      <w:pPr>
        <w:pStyle w:val="7"/>
      </w:pPr>
      <w:r>
        <w:rPr>
          <w:b/>
          <w:bCs/>
        </w:rPr>
        <w:t>Protocol Declaration</w:t>
      </w:r>
    </w:p>
    <w:p w14:paraId="55F54EA7">
      <w:pPr>
        <w:pStyle w:val="7"/>
      </w:pPr>
      <w:r>
        <w:t>IPSTP v1.0 is independently proposed, defined, and publicly released by the author Li Zhijun. This protocol is fully open for academic research, engineering implementation, secondary iteration, and public citation, with no basic usage restrictions.</w:t>
      </w:r>
    </w:p>
    <w:p w14:paraId="41DF076E">
      <w:pPr>
        <w:pStyle w:val="7"/>
      </w:pPr>
      <w:r>
        <w:rPr>
          <w:b/>
          <w:bCs/>
        </w:rPr>
        <w:t>Appendix A: IPSTP Full Practical Resources and Implementation Paradigm (Practical Guide · Non-Theoretical Main Text)</w:t>
      </w:r>
    </w:p>
    <w:p w14:paraId="05DB6D3B">
      <w:pPr>
        <w:pStyle w:val="7"/>
      </w:pPr>
      <w:r>
        <w:t>This appendix contains practical supporting content for the protocol, recording all implementation tools, infrastructure, platform systems, and automated archiving paradigms, used to guide users in fully implementing the IPSTP rights confirmation process.</w:t>
      </w:r>
    </w:p>
    <w:p w14:paraId="1DBC98CD">
      <w:pPr>
        <w:pStyle w:val="7"/>
      </w:pPr>
      <w:r>
        <w:rPr>
          <w:b/>
          <w:bCs/>
        </w:rPr>
        <w:t>A.1 Academic Publication Resource Layer (Dedicated Disclosure Platform for Layers A/B)</w:t>
      </w:r>
    </w:p>
    <w:p w14:paraId="77639886">
      <w:pPr>
        <w:pStyle w:val="7"/>
      </w:pPr>
      <w:r>
        <w:t>Used for public disclosure and academic priority confirmation of Layer A/B theoretical and constraint systems, adapting to all disciplinary scenarios. Includes mainstream authoritative preprint and open science platforms such as arXiv, Zenodo, OSF, SSRN, HAL, ChemRxiv, TechRxiv, engrXiv, EarthArXiv, medRxiv, bioRxiv, and Preprints.org.</w:t>
      </w:r>
    </w:p>
    <w:p w14:paraId="4AE63DF2">
      <w:pPr>
        <w:pStyle w:val="7"/>
      </w:pPr>
      <w:r>
        <w:rPr>
          <w:b/>
          <w:bCs/>
        </w:rPr>
        <w:t>A.2 Trusted Temporal Anchoring Resource Layer</w:t>
      </w:r>
    </w:p>
    <w:p w14:paraId="50C19B7D">
      <w:pPr>
        <w:pStyle w:val="7"/>
      </w:pPr>
      <w:r>
        <w:t>Provides authoritative chronological solidification support for VDEs. Includes RFC 3161 standard TSA trusted timestamps, National Time Service Center time services, OpenTimestamps blockchain timestamps, Ethereum/Polygon archiving, WIPO Proof digital evidence services, and DOI official registration timestamps, among other admissibility-level chronological tools.</w:t>
      </w:r>
    </w:p>
    <w:p w14:paraId="672BD118">
      <w:pPr>
        <w:pStyle w:val="7"/>
      </w:pPr>
      <w:r>
        <w:rPr>
          <w:b/>
          <w:bCs/>
        </w:rPr>
        <w:t>A.3 Permanent Storage and Version Preservation Resource Layer</w:t>
      </w:r>
    </w:p>
    <w:p w14:paraId="0B319318">
      <w:pPr>
        <w:pStyle w:val="7"/>
      </w:pPr>
      <w:r>
        <w:t>Used to solidify public content, lock hash fingerprints, and achieve permanent tamper-proof archiving. The public system includes GitHub version control, Zenodo (CERN) permanent archiving, IPFS content addressing, and Arweave perpetual storage; Layer C private engineering content uniformly adopts a local encrypted cold storage mode, strictly isolating the public link.</w:t>
      </w:r>
    </w:p>
    <w:p w14:paraId="2142AE37">
      <w:pPr>
        <w:pStyle w:val="7"/>
      </w:pPr>
      <w:r>
        <w:rPr>
          <w:b/>
          <w:bCs/>
        </w:rPr>
        <w:t>A.4 Official Standard Fully Automated Implementation Paradigm (GitHub + Zenodo)</w:t>
      </w:r>
    </w:p>
    <w:p w14:paraId="6D941AD4">
      <w:pPr>
        <w:pStyle w:val="7"/>
      </w:pPr>
      <w:r>
        <w:t>The standardized fully automated implementation scheme designated by this protocol can complete the full closed loop of spatial anchoring, temporal anchoring, VDE generation, and dual-DOI confirmation with zero manual intervention. Users host compliant Layer A/B content in a public GitHub repository, enable Zenodo automatic archiving permissions, and after publishing an official version via GitHub Release, the system automatically completes full-link evidence solidification.</w:t>
      </w:r>
      <w:r>
        <w:br w:type="textWrapping"/>
      </w:r>
      <w:r>
        <w:t>This paradigm achieves: full-repository snapshot hash solidification, CERN permanent off-site backup, quadruple authoritative timestamp locking, Concept DOI long-term traceability + Version DOI precise version confirmation, and automatic generation of compliant VDEs, perfectly fitting the core design of IPSTP: "publicly provable, privately preservable, permanently traceable."</w:t>
      </w:r>
    </w:p>
    <w:p w14:paraId="56D145F6">
      <w:pPr>
        <w:pStyle w:val="7"/>
      </w:pPr>
      <w:r>
        <w:rPr>
          <w:b/>
          <w:bCs/>
        </w:rPr>
        <w:t>A.5 Judicial and Evidence Supporting Tool Resources</w:t>
      </w:r>
    </w:p>
    <w:p w14:paraId="13ED4498">
      <w:pPr>
        <w:pStyle w:val="7"/>
      </w:pPr>
      <w:r>
        <w:t xml:space="preserve">Used for evidence solidification, integrity verification, and </w:t>
      </w:r>
      <w:r>
        <w:rPr>
          <w:rFonts w:hint="eastAsia"/>
        </w:rPr>
        <w:t>dispute举证</w:t>
      </w:r>
      <w:r>
        <w:t xml:space="preserve"> (burden of proof). Includes electronic data appraisal, notary office electronic archiving, blockchain judicial archiving, hash verification tools, and cross-border arbitration evidence submission systems, providing standardized evidence support for IP and academic disputes.</w:t>
      </w:r>
    </w:p>
    <w:sectPr>
      <w:footerReference r:id="rId5" w:type="default"/>
      <w:footerReference r:id="rId6" w:type="even"/>
      <w:footnotePr>
        <w:numRestart w:val="eachSect"/>
      </w:footnotePr>
      <w:pgSz w:w="12240" w:h="15840"/>
      <w:pgMar w:top="1701" w:right="1985" w:bottom="1701" w:left="1985" w:header="720" w:footer="720" w:gutter="0"/>
      <w:pgNumType w:start="1"/>
      <w:cols w:space="720" w:num="1"/>
      <w:docGrid w:linePitch="326"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ptos">
    <w:altName w:val="Segoe UI"/>
    <w:panose1 w:val="020B0004020202020204"/>
    <w:charset w:val="00"/>
    <w:family w:val="swiss"/>
    <w:pitch w:val="default"/>
    <w:sig w:usb0="00000000" w:usb1="00000000" w:usb2="00000000" w:usb3="00000000" w:csb0="0000019F" w:csb1="00000000"/>
  </w:font>
  <w:font w:name="等线">
    <w:panose1 w:val="02010600030101010101"/>
    <w:charset w:val="86"/>
    <w:family w:val="auto"/>
    <w:pitch w:val="default"/>
    <w:sig w:usb0="A00002BF" w:usb1="38CF7CFA" w:usb2="00000016" w:usb3="00000000" w:csb0="0004000F" w:csb1="00000000"/>
  </w:font>
  <w:font w:name="Cambria Math">
    <w:panose1 w:val="02040503050406030204"/>
    <w:charset w:val="00"/>
    <w:family w:val="roman"/>
    <w:pitch w:val="default"/>
    <w:sig w:usb0="E00006FF" w:usb1="420024FF" w:usb2="02000000" w:usb3="00000000" w:csb0="2000019F" w:csb1="00000000"/>
  </w:font>
  <w:font w:name="Arial">
    <w:panose1 w:val="020B0604020202020204"/>
    <w:charset w:val="00"/>
    <w:family w:val="swiss"/>
    <w:pitch w:val="default"/>
    <w:sig w:usb0="E0002EFF" w:usb1="C000785B" w:usb2="00000009" w:usb3="00000000" w:csb0="400001FF" w:csb1="FFFF0000"/>
  </w:font>
  <w:font w:name="等线 Light">
    <w:panose1 w:val="02010600030101010101"/>
    <w:charset w:val="86"/>
    <w:family w:val="auto"/>
    <w:pitch w:val="default"/>
    <w:sig w:usb0="A00002BF" w:usb1="38CF7CFA" w:usb2="00000016" w:usb3="00000000" w:csb0="0004000F" w:csb1="00000000"/>
  </w:font>
  <w:font w:name="Aptos Display">
    <w:altName w:val="Segoe UI Variable Display"/>
    <w:panose1 w:val="020B0004020202020204"/>
    <w:charset w:val="00"/>
    <w:family w:val="swiss"/>
    <w:pitch w:val="default"/>
    <w:sig w:usb0="00000000" w:usb1="00000000" w:usb2="00000000" w:usb3="00000000" w:csb0="0000019F" w:csb1="00000000"/>
  </w:font>
  <w:font w:name="Consolas">
    <w:panose1 w:val="020B0609020204030204"/>
    <w:charset w:val="00"/>
    <w:family w:val="modern"/>
    <w:pitch w:val="default"/>
    <w:sig w:usb0="E00006FF" w:usb1="0000FCFF" w:usb2="00000001" w:usb3="00000000" w:csb0="6000019F" w:csb1="DFD70000"/>
  </w:font>
  <w:font w:name="Segoe UI Variable Display">
    <w:panose1 w:val="00000000000000000000"/>
    <w:charset w:val="00"/>
    <w:family w:val="auto"/>
    <w:pitch w:val="default"/>
    <w:sig w:usb0="A00002FF" w:usb1="0000000B" w:usb2="00000000" w:usb3="00000000" w:csb0="2000019F" w:csb1="00000000"/>
  </w:font>
  <w:font w:name="Segoe UI">
    <w:panose1 w:val="020B0502040204020203"/>
    <w:charset w:val="00"/>
    <w:family w:val="auto"/>
    <w:pitch w:val="default"/>
    <w:sig w:usb0="E4002EFF" w:usb1="C000E47F"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rPr>
        <w:rStyle w:val="23"/>
      </w:rPr>
      <w:id w:val="759099229"/>
      <w:docPartObj>
        <w:docPartGallery w:val="AutoText"/>
      </w:docPartObj>
    </w:sdtPr>
    <w:sdtEndPr>
      <w:rPr>
        <w:rStyle w:val="23"/>
      </w:rPr>
    </w:sdtEndPr>
    <w:sdtContent>
      <w:p w14:paraId="57517F74">
        <w:pPr>
          <w:pStyle w:val="16"/>
          <w:framePr w:wrap="auto" w:vAnchor="text" w:hAnchor="margin" w:xAlign="center" w:y="1"/>
          <w:ind w:firstLine="420"/>
          <w:rPr>
            <w:rStyle w:val="23"/>
          </w:rPr>
        </w:pPr>
        <w:r>
          <w:rPr>
            <w:rStyle w:val="23"/>
          </w:rPr>
          <w:fldChar w:fldCharType="begin"/>
        </w:r>
        <w:r>
          <w:rPr>
            <w:rStyle w:val="23"/>
          </w:rPr>
          <w:instrText xml:space="preserve"> PAGE </w:instrText>
        </w:r>
        <w:r>
          <w:rPr>
            <w:rStyle w:val="23"/>
          </w:rPr>
          <w:fldChar w:fldCharType="separate"/>
        </w:r>
        <w:r>
          <w:rPr>
            <w:rStyle w:val="23"/>
          </w:rPr>
          <w:t>1</w:t>
        </w:r>
        <w:r>
          <w:rPr>
            <w:rStyle w:val="23"/>
          </w:rPr>
          <w:fldChar w:fldCharType="end"/>
        </w:r>
      </w:p>
    </w:sdtContent>
  </w:sdt>
  <w:p w14:paraId="19C0C299">
    <w:pPr>
      <w:pStyle w:val="16"/>
      <w:ind w:firstLine="22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rPr>
        <w:rStyle w:val="23"/>
      </w:rPr>
      <w:id w:val="-22784425"/>
      <w:docPartObj>
        <w:docPartGallery w:val="AutoText"/>
      </w:docPartObj>
    </w:sdtPr>
    <w:sdtEndPr>
      <w:rPr>
        <w:rStyle w:val="23"/>
      </w:rPr>
    </w:sdtEndPr>
    <w:sdtContent>
      <w:p w14:paraId="15E30B12">
        <w:pPr>
          <w:pStyle w:val="16"/>
          <w:framePr w:wrap="auto" w:vAnchor="text" w:hAnchor="margin" w:xAlign="center" w:y="1"/>
          <w:ind w:firstLine="420"/>
          <w:rPr>
            <w:rStyle w:val="23"/>
          </w:rPr>
        </w:pPr>
        <w:r>
          <w:rPr>
            <w:rStyle w:val="23"/>
          </w:rPr>
          <w:fldChar w:fldCharType="begin"/>
        </w:r>
        <w:r>
          <w:rPr>
            <w:rStyle w:val="23"/>
          </w:rPr>
          <w:instrText xml:space="preserve"> PAGE </w:instrText>
        </w:r>
        <w:r>
          <w:rPr>
            <w:rStyle w:val="23"/>
          </w:rPr>
          <w:fldChar w:fldCharType="end"/>
        </w:r>
      </w:p>
    </w:sdtContent>
  </w:sdt>
  <w:p w14:paraId="7C651F51">
    <w:pPr>
      <w:pStyle w:val="16"/>
      <w:ind w:firstLine="22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480" w:lineRule="auto"/>
      </w:pPr>
      <w:r>
        <w:separator/>
      </w:r>
    </w:p>
  </w:footnote>
  <w:footnote w:type="continuationSeparator" w:id="1">
    <w:p>
      <w:pPr>
        <w:spacing w:before="0" w:after="0" w:line="48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embedSystemFonts/>
  <w:bordersDoNotSurroundHeader w:val="1"/>
  <w:bordersDoNotSurroundFooter w:val="1"/>
  <w:stylePaneFormatFilter w:val="3F21" w:allStyles="1" w:customStyles="0" w:latentStyles="0" w:stylesInUse="0" w:headingStyles="1" w:numberingStyles="0" w:tableStyles="0" w:directFormattingOnRuns="1" w:directFormattingOnParagraphs="1" w:directFormattingOnNumbering="1" w:directFormattingOnTables="1" w:clearFormatting="1" w:top3HeadingStyles="1" w:visibleStyles="0" w:alternateStyleNames="0"/>
  <w:doNotTrackMoves/>
  <w:documentProtection w:enforcement="0"/>
  <w:defaultTabStop w:val="720"/>
  <w:drawingGridHorizontalSpacing w:val="360"/>
  <w:drawingGridVerticalSpacing w:val="360"/>
  <w:displayHorizontalDrawingGridEvery w:val="0"/>
  <w:displayVerticalDrawingGridEvery w:val="0"/>
  <w:characterSpacingControl w:val="doNotCompress"/>
  <w:footnotePr>
    <w:numRestart w:val="eachSect"/>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D3804"/>
    <w:rsid w:val="000D3804"/>
    <w:rsid w:val="001004CB"/>
    <w:rsid w:val="002C287B"/>
    <w:rsid w:val="003D24DD"/>
    <w:rsid w:val="003D4E8E"/>
    <w:rsid w:val="003E7597"/>
    <w:rsid w:val="00507224"/>
    <w:rsid w:val="005A58BB"/>
    <w:rsid w:val="00632623"/>
    <w:rsid w:val="00686606"/>
    <w:rsid w:val="006B3784"/>
    <w:rsid w:val="006C187E"/>
    <w:rsid w:val="006F194A"/>
    <w:rsid w:val="007C184E"/>
    <w:rsid w:val="007E0DB5"/>
    <w:rsid w:val="008314EC"/>
    <w:rsid w:val="008E7A62"/>
    <w:rsid w:val="00931A0F"/>
    <w:rsid w:val="00945431"/>
    <w:rsid w:val="009F20CF"/>
    <w:rsid w:val="00A46127"/>
    <w:rsid w:val="00A70586"/>
    <w:rsid w:val="00AF0735"/>
    <w:rsid w:val="00B148D6"/>
    <w:rsid w:val="00B6118A"/>
    <w:rsid w:val="00C83432"/>
    <w:rsid w:val="00CA4FD5"/>
    <w:rsid w:val="00D41549"/>
    <w:rsid w:val="00DD0405"/>
    <w:rsid w:val="00E03B7F"/>
    <w:rsid w:val="00E25422"/>
    <w:rsid w:val="00ED47C1"/>
    <w:rsid w:val="00FB0243"/>
    <w:rsid w:val="410878A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0" w:semiHidden="0" w:name="Title"/>
    <w:lsdException w:unhideWhenUsed="0" w:uiPriority="0" w:semiHidden="0" w:name="Closing"/>
    <w:lsdException w:unhideWhenUsed="0" w:uiPriority="0" w:semiHidden="0" w:name="Signature"/>
    <w:lsdException w:uiPriority="1"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11"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qFormat="1"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qFormat="1" w:unhideWhenUsed="0" w:uiPriority="0" w:semiHidden="0" w:name="Hyperlink"/>
    <w:lsdException w:qFormat="1"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after="0" w:line="480" w:lineRule="auto"/>
      <w:ind w:firstLineChars="0"/>
    </w:pPr>
    <w:rPr>
      <w:rFonts w:ascii="Times New Roman" w:hAnsi="Times New Roman" w:eastAsia="宋体" w:cs="Cambria Math"/>
      <w:kern w:val="2"/>
      <w:sz w:val="24"/>
      <w:szCs w:val="24"/>
      <w:lang w:val="en-US" w:eastAsia="zh-CN" w:bidi="ar-SA"/>
    </w:rPr>
  </w:style>
  <w:style w:type="paragraph" w:styleId="2">
    <w:name w:val="heading 1"/>
    <w:basedOn w:val="1"/>
    <w:next w:val="1"/>
    <w:link w:val="36"/>
    <w:qFormat/>
    <w:uiPriority w:val="0"/>
    <w:pPr>
      <w:keepNext/>
      <w:keepLines/>
      <w:spacing w:before="260" w:after="260" w:line="480" w:lineRule="auto"/>
      <w:outlineLvl w:val="0"/>
    </w:pPr>
    <w:rPr>
      <w:rFonts w:ascii="Times New Roman" w:hAnsi="Times New Roman" w:eastAsia="宋体"/>
      <w:b/>
      <w:bCs/>
      <w:color w:val="000000"/>
      <w:kern w:val="44"/>
      <w:sz w:val="36"/>
      <w:szCs w:val="36"/>
    </w:rPr>
  </w:style>
  <w:style w:type="paragraph" w:styleId="3">
    <w:name w:val="heading 2"/>
    <w:basedOn w:val="1"/>
    <w:next w:val="1"/>
    <w:link w:val="37"/>
    <w:unhideWhenUsed/>
    <w:qFormat/>
    <w:uiPriority w:val="0"/>
    <w:pPr>
      <w:keepNext/>
      <w:keepLines/>
      <w:spacing w:before="260" w:after="260" w:line="432" w:lineRule="auto"/>
      <w:outlineLvl w:val="1"/>
    </w:pPr>
    <w:rPr>
      <w:rFonts w:ascii="Times New Roman" w:hAnsi="Times New Roman" w:eastAsia="宋体"/>
      <w:b/>
      <w:bCs/>
      <w:color w:val="000000"/>
      <w:sz w:val="30"/>
      <w:szCs w:val="30"/>
    </w:rPr>
  </w:style>
  <w:style w:type="paragraph" w:styleId="4">
    <w:name w:val="heading 3"/>
    <w:basedOn w:val="1"/>
    <w:next w:val="1"/>
    <w:link w:val="38"/>
    <w:unhideWhenUsed/>
    <w:qFormat/>
    <w:uiPriority w:val="0"/>
    <w:pPr>
      <w:keepNext/>
      <w:keepLines/>
      <w:spacing w:before="260" w:after="260" w:line="432" w:lineRule="auto"/>
      <w:outlineLvl w:val="2"/>
    </w:pPr>
    <w:rPr>
      <w:rFonts w:ascii="Times New Roman" w:hAnsi="Times New Roman" w:eastAsia="宋体"/>
      <w:b/>
      <w:bCs/>
      <w:color w:val="000000"/>
      <w:sz w:val="26"/>
      <w:szCs w:val="26"/>
    </w:rPr>
  </w:style>
  <w:style w:type="paragraph" w:styleId="5">
    <w:name w:val="heading 4"/>
    <w:basedOn w:val="1"/>
    <w:next w:val="1"/>
    <w:link w:val="39"/>
    <w:unhideWhenUsed/>
    <w:qFormat/>
    <w:uiPriority w:val="0"/>
    <w:pPr>
      <w:keepNext/>
      <w:keepLines/>
      <w:spacing w:before="260" w:after="260" w:line="413" w:lineRule="auto"/>
      <w:outlineLvl w:val="3"/>
    </w:pPr>
    <w:rPr>
      <w:rFonts w:ascii="Arial" w:hAnsi="Arial" w:eastAsia="黑体"/>
      <w:b/>
      <w:sz w:val="32"/>
    </w:rPr>
  </w:style>
  <w:style w:type="paragraph" w:styleId="6">
    <w:name w:val="heading 5"/>
    <w:basedOn w:val="1"/>
    <w:next w:val="7"/>
    <w:link w:val="40"/>
    <w:semiHidden/>
    <w:unhideWhenUsed/>
    <w:qFormat/>
    <w:uiPriority w:val="9"/>
    <w:pPr>
      <w:keepNext/>
      <w:keepLines/>
      <w:spacing w:before="80" w:after="40"/>
      <w:outlineLvl w:val="4"/>
    </w:pPr>
    <w:rPr>
      <w:rFonts w:eastAsiaTheme="majorEastAsia" w:cstheme="majorBidi"/>
      <w:color w:val="0F4761" w:themeColor="accent1" w:themeShade="BF"/>
    </w:rPr>
  </w:style>
  <w:style w:type="paragraph" w:styleId="8">
    <w:name w:val="heading 6"/>
    <w:basedOn w:val="1"/>
    <w:next w:val="7"/>
    <w:link w:val="41"/>
    <w:semiHidden/>
    <w:unhideWhenUsed/>
    <w:qFormat/>
    <w:uiPriority w:val="9"/>
    <w:pPr>
      <w:keepNext/>
      <w:keepLines/>
      <w:spacing w:before="40"/>
      <w:outlineLvl w:val="5"/>
    </w:pPr>
    <w:rPr>
      <w:rFonts w:eastAsiaTheme="majorEastAsia" w:cstheme="majorBidi"/>
      <w:i/>
      <w:iCs/>
      <w:color w:val="585858" w:themeColor="text1" w:themeTint="A6"/>
    </w:rPr>
  </w:style>
  <w:style w:type="paragraph" w:styleId="9">
    <w:name w:val="heading 7"/>
    <w:basedOn w:val="1"/>
    <w:next w:val="7"/>
    <w:link w:val="42"/>
    <w:semiHidden/>
    <w:unhideWhenUsed/>
    <w:qFormat/>
    <w:uiPriority w:val="9"/>
    <w:pPr>
      <w:keepNext/>
      <w:keepLines/>
      <w:spacing w:before="40"/>
      <w:outlineLvl w:val="6"/>
    </w:pPr>
    <w:rPr>
      <w:rFonts w:eastAsiaTheme="majorEastAsia" w:cstheme="majorBidi"/>
      <w:color w:val="585858" w:themeColor="text1" w:themeTint="A6"/>
    </w:rPr>
  </w:style>
  <w:style w:type="paragraph" w:styleId="10">
    <w:name w:val="heading 8"/>
    <w:basedOn w:val="1"/>
    <w:next w:val="7"/>
    <w:link w:val="43"/>
    <w:semiHidden/>
    <w:unhideWhenUsed/>
    <w:qFormat/>
    <w:uiPriority w:val="9"/>
    <w:pPr>
      <w:keepNext/>
      <w:keepLines/>
      <w:outlineLvl w:val="7"/>
    </w:pPr>
    <w:rPr>
      <w:rFonts w:eastAsiaTheme="majorEastAsia" w:cstheme="majorBidi"/>
      <w:i/>
      <w:iCs/>
      <w:color w:val="262626" w:themeColor="text1" w:themeTint="D8"/>
    </w:rPr>
  </w:style>
  <w:style w:type="paragraph" w:styleId="11">
    <w:name w:val="heading 9"/>
    <w:basedOn w:val="1"/>
    <w:next w:val="7"/>
    <w:link w:val="44"/>
    <w:semiHidden/>
    <w:unhideWhenUsed/>
    <w:qFormat/>
    <w:uiPriority w:val="9"/>
    <w:pPr>
      <w:keepNext/>
      <w:keepLines/>
      <w:outlineLvl w:val="8"/>
    </w:pPr>
    <w:rPr>
      <w:rFonts w:eastAsiaTheme="majorEastAsia" w:cstheme="majorBidi"/>
      <w:color w:val="262626" w:themeColor="text1" w:themeTint="D8"/>
    </w:rPr>
  </w:style>
  <w:style w:type="character" w:default="1" w:styleId="22">
    <w:name w:val="Default Paragraph Font"/>
    <w:semiHidden/>
    <w:unhideWhenUsed/>
    <w:uiPriority w:val="1"/>
  </w:style>
  <w:style w:type="table" w:default="1" w:styleId="21">
    <w:name w:val="Normal Table"/>
    <w:semiHidden/>
    <w:unhideWhenUsed/>
    <w:uiPriority w:val="99"/>
    <w:tblPr>
      <w:tblCellMar>
        <w:top w:w="0" w:type="dxa"/>
        <w:left w:w="108" w:type="dxa"/>
        <w:bottom w:w="0" w:type="dxa"/>
        <w:right w:w="108" w:type="dxa"/>
      </w:tblCellMar>
    </w:tblPr>
  </w:style>
  <w:style w:type="paragraph" w:styleId="7">
    <w:name w:val="Body Text"/>
    <w:basedOn w:val="1"/>
    <w:qFormat/>
    <w:uiPriority w:val="0"/>
  </w:style>
  <w:style w:type="paragraph" w:styleId="12">
    <w:name w:val="caption"/>
    <w:basedOn w:val="1"/>
    <w:link w:val="26"/>
    <w:qFormat/>
    <w:uiPriority w:val="0"/>
    <w:pPr>
      <w:spacing w:after="120"/>
    </w:pPr>
    <w:rPr>
      <w:i/>
    </w:rPr>
  </w:style>
  <w:style w:type="paragraph" w:styleId="13">
    <w:name w:val="Block Text"/>
    <w:basedOn w:val="7"/>
    <w:next w:val="7"/>
    <w:unhideWhenUsed/>
    <w:qFormat/>
    <w:uiPriority w:val="9"/>
    <w:pPr>
      <w:ind w:left="482" w:right="482"/>
    </w:pPr>
  </w:style>
  <w:style w:type="paragraph" w:styleId="14">
    <w:name w:val="Date"/>
    <w:basedOn w:val="15"/>
    <w:next w:val="7"/>
    <w:qFormat/>
    <w:uiPriority w:val="0"/>
    <w:pPr>
      <w:keepNext/>
      <w:keepLines/>
    </w:pPr>
    <w:rPr>
      <w:sz w:val="24"/>
      <w:szCs w:val="24"/>
    </w:rPr>
  </w:style>
  <w:style w:type="paragraph" w:styleId="15">
    <w:name w:val="Title"/>
    <w:basedOn w:val="1"/>
    <w:next w:val="7"/>
    <w:link w:val="30"/>
    <w:qFormat/>
    <w:uiPriority w:val="10"/>
    <w:pPr>
      <w:spacing w:after="80"/>
      <w:contextualSpacing/>
      <w:jc w:val="center"/>
    </w:pPr>
    <w:rPr>
      <w:rFonts w:asciiTheme="majorHAnsi" w:hAnsiTheme="majorHAnsi" w:eastAsiaTheme="majorEastAsia" w:cstheme="majorBidi"/>
      <w:sz w:val="56"/>
      <w:szCs w:val="56"/>
    </w:rPr>
  </w:style>
  <w:style w:type="paragraph" w:styleId="16">
    <w:name w:val="footer"/>
    <w:basedOn w:val="1"/>
    <w:link w:val="57"/>
    <w:qFormat/>
    <w:uiPriority w:val="0"/>
    <w:pPr>
      <w:tabs>
        <w:tab w:val="center" w:pos="4153"/>
        <w:tab w:val="right" w:pos="8306"/>
      </w:tabs>
      <w:snapToGrid w:val="0"/>
      <w:jc w:val="center"/>
    </w:pPr>
    <w:rPr>
      <w:sz w:val="11"/>
      <w:szCs w:val="18"/>
    </w:rPr>
  </w:style>
  <w:style w:type="paragraph" w:styleId="17">
    <w:name w:val="header"/>
    <w:basedOn w:val="1"/>
    <w:link w:val="59"/>
    <w:qFormat/>
    <w:uiPriority w:val="0"/>
    <w:pPr>
      <w:tabs>
        <w:tab w:val="center" w:pos="4153"/>
        <w:tab w:val="right" w:pos="8306"/>
      </w:tabs>
      <w:snapToGrid w:val="0"/>
      <w:jc w:val="center"/>
    </w:pPr>
    <w:rPr>
      <w:sz w:val="18"/>
      <w:szCs w:val="18"/>
    </w:rPr>
  </w:style>
  <w:style w:type="paragraph" w:styleId="18">
    <w:name w:val="Subtitle"/>
    <w:basedOn w:val="15"/>
    <w:next w:val="7"/>
    <w:link w:val="31"/>
    <w:qFormat/>
    <w:uiPriority w:val="11"/>
    <w:rPr>
      <w:spacing w:val="15"/>
      <w:sz w:val="28"/>
      <w:szCs w:val="28"/>
    </w:rPr>
  </w:style>
  <w:style w:type="paragraph" w:styleId="19">
    <w:name w:val="footnote text"/>
    <w:basedOn w:val="1"/>
    <w:unhideWhenUsed/>
    <w:qFormat/>
    <w:uiPriority w:val="9"/>
  </w:style>
  <w:style w:type="paragraph" w:styleId="20">
    <w:name w:val="Body Text 2"/>
    <w:basedOn w:val="1"/>
    <w:link w:val="58"/>
    <w:qFormat/>
    <w:uiPriority w:val="0"/>
  </w:style>
  <w:style w:type="character" w:styleId="23">
    <w:name w:val="page number"/>
    <w:basedOn w:val="22"/>
    <w:qFormat/>
    <w:uiPriority w:val="0"/>
    <w:rPr>
      <w:rFonts w:eastAsia="宋体"/>
      <w:sz w:val="21"/>
    </w:rPr>
  </w:style>
  <w:style w:type="character" w:styleId="24">
    <w:name w:val="FollowedHyperlink"/>
    <w:basedOn w:val="22"/>
    <w:qFormat/>
    <w:uiPriority w:val="0"/>
    <w:rPr>
      <w:color w:val="96607D" w:themeColor="followedHyperlink"/>
      <w:u w:val="single"/>
    </w:rPr>
  </w:style>
  <w:style w:type="character" w:styleId="25">
    <w:name w:val="Hyperlink"/>
    <w:basedOn w:val="26"/>
    <w:qFormat/>
    <w:uiPriority w:val="0"/>
    <w:rPr>
      <w:color w:val="156082" w:themeColor="accent1"/>
    </w:rPr>
  </w:style>
  <w:style w:type="character" w:customStyle="1" w:styleId="26">
    <w:name w:val="题注 字符"/>
    <w:basedOn w:val="22"/>
    <w:link w:val="12"/>
    <w:qFormat/>
    <w:uiPriority w:val="0"/>
  </w:style>
  <w:style w:type="character" w:styleId="27">
    <w:name w:val="footnote reference"/>
    <w:basedOn w:val="26"/>
    <w:qFormat/>
    <w:uiPriority w:val="0"/>
    <w:rPr>
      <w:vertAlign w:val="superscript"/>
    </w:rPr>
  </w:style>
  <w:style w:type="paragraph" w:customStyle="1" w:styleId="28">
    <w:name w:val="First Paragraph"/>
    <w:basedOn w:val="7"/>
    <w:next w:val="7"/>
    <w:qFormat/>
    <w:uiPriority w:val="0"/>
  </w:style>
  <w:style w:type="paragraph" w:customStyle="1" w:styleId="29">
    <w:name w:val="Compact"/>
    <w:basedOn w:val="7"/>
    <w:qFormat/>
    <w:uiPriority w:val="0"/>
  </w:style>
  <w:style w:type="character" w:customStyle="1" w:styleId="30">
    <w:name w:val="标题 字符"/>
    <w:basedOn w:val="22"/>
    <w:link w:val="15"/>
    <w:uiPriority w:val="10"/>
    <w:rPr>
      <w:rFonts w:asciiTheme="majorHAnsi" w:hAnsiTheme="majorHAnsi" w:eastAsiaTheme="majorEastAsia" w:cstheme="majorBidi"/>
      <w:sz w:val="56"/>
      <w:szCs w:val="56"/>
    </w:rPr>
  </w:style>
  <w:style w:type="character" w:customStyle="1" w:styleId="31">
    <w:name w:val="副标题 字符"/>
    <w:basedOn w:val="22"/>
    <w:link w:val="18"/>
    <w:uiPriority w:val="11"/>
    <w:rPr>
      <w:rFonts w:eastAsiaTheme="majorEastAsia" w:cstheme="majorBidi"/>
      <w:color w:val="585858" w:themeColor="text1" w:themeTint="A6"/>
      <w:spacing w:val="15"/>
      <w:sz w:val="28"/>
      <w:szCs w:val="28"/>
    </w:rPr>
  </w:style>
  <w:style w:type="paragraph" w:customStyle="1" w:styleId="32">
    <w:name w:val="Author"/>
    <w:basedOn w:val="15"/>
    <w:next w:val="7"/>
    <w:qFormat/>
    <w:uiPriority w:val="0"/>
    <w:pPr>
      <w:keepNext/>
      <w:keepLines/>
    </w:pPr>
    <w:rPr>
      <w:sz w:val="24"/>
      <w:szCs w:val="24"/>
    </w:rPr>
  </w:style>
  <w:style w:type="paragraph" w:customStyle="1" w:styleId="33">
    <w:name w:val="Abstract Title"/>
    <w:basedOn w:val="1"/>
    <w:next w:val="34"/>
    <w:qFormat/>
    <w:uiPriority w:val="0"/>
    <w:pPr>
      <w:keepNext/>
      <w:keepLines/>
      <w:spacing w:before="300"/>
      <w:jc w:val="center"/>
    </w:pPr>
    <w:rPr>
      <w:b/>
      <w:sz w:val="20"/>
      <w:szCs w:val="20"/>
    </w:rPr>
  </w:style>
  <w:style w:type="paragraph" w:customStyle="1" w:styleId="34">
    <w:name w:val="Abstract"/>
    <w:basedOn w:val="1"/>
    <w:next w:val="7"/>
    <w:qFormat/>
    <w:uiPriority w:val="0"/>
    <w:pPr>
      <w:keepNext/>
      <w:keepLines/>
      <w:spacing w:before="100" w:after="300"/>
    </w:pPr>
    <w:rPr>
      <w:sz w:val="20"/>
      <w:szCs w:val="20"/>
    </w:rPr>
  </w:style>
  <w:style w:type="paragraph" w:customStyle="1" w:styleId="35">
    <w:name w:val="Bibliography"/>
    <w:basedOn w:val="1"/>
    <w:qFormat/>
    <w:uiPriority w:val="0"/>
  </w:style>
  <w:style w:type="character" w:customStyle="1" w:styleId="36">
    <w:name w:val="标题 1 字符"/>
    <w:basedOn w:val="22"/>
    <w:link w:val="2"/>
    <w:uiPriority w:val="0"/>
    <w:rPr>
      <w:rFonts w:ascii="Times New Roman" w:hAnsi="Times New Roman" w:eastAsia="黑体" w:cs="Cambria Math"/>
      <w:b/>
      <w:kern w:val="44"/>
      <w:sz w:val="32"/>
      <w:szCs w:val="22"/>
      <w:lang w:eastAsia="zh-CN"/>
    </w:rPr>
  </w:style>
  <w:style w:type="character" w:customStyle="1" w:styleId="37">
    <w:name w:val="标题 2 字符"/>
    <w:basedOn w:val="22"/>
    <w:link w:val="3"/>
    <w:uiPriority w:val="0"/>
    <w:rPr>
      <w:rFonts w:ascii="Arial" w:hAnsi="Arial" w:eastAsia="黑体" w:cs="Cambria Math"/>
      <w:b/>
      <w:kern w:val="2"/>
      <w:sz w:val="32"/>
      <w:szCs w:val="22"/>
      <w:lang w:eastAsia="zh-CN"/>
    </w:rPr>
  </w:style>
  <w:style w:type="character" w:customStyle="1" w:styleId="38">
    <w:name w:val="标题 3 字符"/>
    <w:basedOn w:val="22"/>
    <w:link w:val="4"/>
    <w:uiPriority w:val="0"/>
    <w:rPr>
      <w:rFonts w:ascii="Times New Roman" w:hAnsi="Times New Roman" w:eastAsia="黑体" w:cs="Cambria Math"/>
      <w:b/>
      <w:kern w:val="2"/>
      <w:sz w:val="32"/>
      <w:szCs w:val="22"/>
      <w:lang w:eastAsia="zh-CN"/>
    </w:rPr>
  </w:style>
  <w:style w:type="character" w:customStyle="1" w:styleId="39">
    <w:name w:val="标题 4 字符"/>
    <w:basedOn w:val="22"/>
    <w:link w:val="5"/>
    <w:uiPriority w:val="0"/>
    <w:rPr>
      <w:rFonts w:ascii="Arial" w:hAnsi="Arial" w:eastAsia="黑体" w:cs="Cambria Math"/>
      <w:b/>
      <w:kern w:val="2"/>
      <w:sz w:val="32"/>
      <w:szCs w:val="22"/>
      <w:lang w:eastAsia="zh-CN"/>
    </w:rPr>
  </w:style>
  <w:style w:type="character" w:customStyle="1" w:styleId="40">
    <w:name w:val="标题 5 字符"/>
    <w:basedOn w:val="22"/>
    <w:link w:val="6"/>
    <w:semiHidden/>
    <w:uiPriority w:val="9"/>
    <w:rPr>
      <w:rFonts w:eastAsiaTheme="majorEastAsia" w:cstheme="majorBidi"/>
      <w:color w:val="0F4761" w:themeColor="accent1" w:themeShade="BF"/>
    </w:rPr>
  </w:style>
  <w:style w:type="character" w:customStyle="1" w:styleId="41">
    <w:name w:val="标题 6 字符"/>
    <w:basedOn w:val="22"/>
    <w:link w:val="8"/>
    <w:semiHidden/>
    <w:uiPriority w:val="9"/>
    <w:rPr>
      <w:rFonts w:eastAsiaTheme="majorEastAsia" w:cstheme="majorBidi"/>
      <w:i/>
      <w:iCs/>
      <w:color w:val="585858" w:themeColor="text1" w:themeTint="A6"/>
    </w:rPr>
  </w:style>
  <w:style w:type="character" w:customStyle="1" w:styleId="42">
    <w:name w:val="标题 7 字符"/>
    <w:basedOn w:val="22"/>
    <w:link w:val="9"/>
    <w:semiHidden/>
    <w:uiPriority w:val="9"/>
    <w:rPr>
      <w:rFonts w:eastAsiaTheme="majorEastAsia" w:cstheme="majorBidi"/>
      <w:color w:val="585858" w:themeColor="text1" w:themeTint="A6"/>
    </w:rPr>
  </w:style>
  <w:style w:type="character" w:customStyle="1" w:styleId="43">
    <w:name w:val="标题 8 字符"/>
    <w:basedOn w:val="22"/>
    <w:link w:val="10"/>
    <w:semiHidden/>
    <w:uiPriority w:val="9"/>
    <w:rPr>
      <w:rFonts w:eastAsiaTheme="majorEastAsia" w:cstheme="majorBidi"/>
      <w:i/>
      <w:iCs/>
      <w:color w:val="262626" w:themeColor="text1" w:themeTint="D8"/>
    </w:rPr>
  </w:style>
  <w:style w:type="character" w:customStyle="1" w:styleId="44">
    <w:name w:val="标题 9 字符"/>
    <w:basedOn w:val="22"/>
    <w:link w:val="11"/>
    <w:semiHidden/>
    <w:uiPriority w:val="9"/>
    <w:rPr>
      <w:rFonts w:eastAsiaTheme="majorEastAsia" w:cstheme="majorBidi"/>
      <w:color w:val="262626" w:themeColor="text1" w:themeTint="D8"/>
    </w:rPr>
  </w:style>
  <w:style w:type="paragraph" w:customStyle="1" w:styleId="45">
    <w:name w:val="Footnote Block Text"/>
    <w:basedOn w:val="19"/>
    <w:next w:val="19"/>
    <w:unhideWhenUsed/>
    <w:qFormat/>
    <w:uiPriority w:val="9"/>
    <w:pPr>
      <w:spacing w:before="100" w:after="100"/>
      <w:ind w:left="480" w:right="480"/>
    </w:pPr>
  </w:style>
  <w:style w:type="table" w:customStyle="1" w:styleId="46">
    <w:name w:val="Table"/>
    <w:semiHidden/>
    <w:unhideWhenUsed/>
    <w:qFormat/>
    <w:uiPriority w:val="0"/>
    <w:tblPr>
      <w:tblBorders>
        <w:top w:val="single" w:color="CCCCCC" w:sz="4" w:space="0"/>
        <w:left w:val="single" w:color="CCCCCC" w:sz="4" w:space="0"/>
        <w:bottom w:val="single" w:color="CCCCCC" w:sz="4" w:space="0"/>
        <w:right w:val="single" w:color="CCCCCC" w:sz="4" w:space="0"/>
        <w:insideH w:val="single" w:color="CCCCCC" w:sz="4" w:space="0"/>
        <w:insideV w:val="single" w:color="CCCCCC" w:sz="4" w:space="0"/>
      </w:tblBorders>
      <w:tblCellMar>
        <w:top w:w="200" w:type="dxa"/>
        <w:left w:w="200" w:type="dxa"/>
        <w:bottom w:w="200" w:type="dxa"/>
        <w:right w:w="200" w:type="dxa"/>
      </w:tblCellMar>
    </w:tblPr>
    <w:tblStylePr w:type="firstRow">
      <w:tblPr/>
      <w:tcPr>
        <w:vAlign w:val="bottom"/>
      </w:tcPr>
    </w:tblStylePr>
  </w:style>
  <w:style w:type="paragraph" w:customStyle="1" w:styleId="47">
    <w:name w:val="Definition Term"/>
    <w:basedOn w:val="1"/>
    <w:next w:val="48"/>
    <w:qFormat/>
    <w:uiPriority w:val="0"/>
    <w:pPr>
      <w:keepNext/>
      <w:keepLines/>
    </w:pPr>
    <w:rPr>
      <w:b/>
    </w:rPr>
  </w:style>
  <w:style w:type="paragraph" w:customStyle="1" w:styleId="48">
    <w:name w:val="Definition"/>
    <w:basedOn w:val="1"/>
    <w:qFormat/>
    <w:uiPriority w:val="0"/>
  </w:style>
  <w:style w:type="paragraph" w:customStyle="1" w:styleId="49">
    <w:name w:val="Table Caption"/>
    <w:basedOn w:val="12"/>
    <w:qFormat/>
    <w:uiPriority w:val="0"/>
    <w:pPr>
      <w:keepNext/>
    </w:pPr>
  </w:style>
  <w:style w:type="paragraph" w:customStyle="1" w:styleId="50">
    <w:name w:val="Image Caption"/>
    <w:basedOn w:val="12"/>
    <w:qFormat/>
    <w:uiPriority w:val="0"/>
  </w:style>
  <w:style w:type="paragraph" w:customStyle="1" w:styleId="51">
    <w:name w:val="Figure"/>
    <w:basedOn w:val="1"/>
    <w:qFormat/>
    <w:uiPriority w:val="0"/>
  </w:style>
  <w:style w:type="paragraph" w:customStyle="1" w:styleId="52">
    <w:name w:val="Captioned Figure"/>
    <w:basedOn w:val="51"/>
    <w:qFormat/>
    <w:uiPriority w:val="0"/>
    <w:pPr>
      <w:keepNext/>
    </w:pPr>
  </w:style>
  <w:style w:type="character" w:customStyle="1" w:styleId="53">
    <w:name w:val="Verbatim Char"/>
    <w:basedOn w:val="26"/>
    <w:link w:val="54"/>
    <w:qFormat/>
    <w:uiPriority w:val="0"/>
    <w:rPr>
      <w:rFonts w:ascii="Consolas" w:hAnsi="Consolas"/>
      <w:sz w:val="22"/>
    </w:rPr>
  </w:style>
  <w:style w:type="paragraph" w:customStyle="1" w:styleId="54">
    <w:name w:val="Source Code"/>
    <w:link w:val="53"/>
    <w:qFormat/>
    <w:uiPriority w:val="0"/>
    <w:pPr>
      <w:wordWrap w:val="0"/>
      <w:spacing w:after="200"/>
    </w:pPr>
    <w:rPr>
      <w:rFonts w:asciiTheme="minorHAnsi" w:hAnsiTheme="minorHAnsi" w:eastAsiaTheme="minorEastAsia" w:cstheme="minorBidi"/>
      <w:sz w:val="24"/>
      <w:szCs w:val="24"/>
      <w:lang w:val="en-US" w:eastAsia="en-US" w:bidi="ar-SA"/>
    </w:rPr>
  </w:style>
  <w:style w:type="character" w:customStyle="1" w:styleId="55">
    <w:name w:val="Section Number"/>
    <w:basedOn w:val="26"/>
    <w:qFormat/>
    <w:uiPriority w:val="0"/>
  </w:style>
  <w:style w:type="paragraph" w:customStyle="1" w:styleId="56">
    <w:name w:val="TOC Heading"/>
    <w:basedOn w:val="2"/>
    <w:next w:val="7"/>
    <w:unhideWhenUsed/>
    <w:qFormat/>
    <w:uiPriority w:val="39"/>
    <w:pPr>
      <w:spacing w:before="240" w:line="259" w:lineRule="auto"/>
      <w:outlineLvl w:val="9"/>
    </w:pPr>
    <w:rPr>
      <w:rFonts w:asciiTheme="majorHAnsi" w:hAnsiTheme="majorHAnsi" w:eastAsiaTheme="majorEastAsia" w:cstheme="majorBidi"/>
      <w:color w:val="0F4761" w:themeColor="accent1" w:themeShade="BF"/>
    </w:rPr>
  </w:style>
  <w:style w:type="character" w:customStyle="1" w:styleId="57">
    <w:name w:val="页脚 字符"/>
    <w:link w:val="16"/>
    <w:qFormat/>
    <w:uiPriority w:val="0"/>
    <w:rPr>
      <w:rFonts w:ascii="Times New Roman" w:hAnsi="Times New Roman" w:eastAsia="宋体" w:cs="Cambria Math"/>
      <w:kern w:val="2"/>
      <w:sz w:val="11"/>
      <w:szCs w:val="18"/>
      <w:lang w:eastAsia="zh-CN"/>
    </w:rPr>
  </w:style>
  <w:style w:type="character" w:customStyle="1" w:styleId="58">
    <w:name w:val="正文文本 2 字符"/>
    <w:basedOn w:val="22"/>
    <w:link w:val="20"/>
    <w:qFormat/>
    <w:uiPriority w:val="0"/>
    <w:rPr>
      <w:rFonts w:ascii="Times New Roman" w:hAnsi="Times New Roman" w:eastAsia="宋体" w:cs="Cambria Math"/>
      <w:kern w:val="2"/>
      <w:szCs w:val="22"/>
      <w:lang w:eastAsia="zh-CN"/>
    </w:rPr>
  </w:style>
  <w:style w:type="character" w:customStyle="1" w:styleId="59">
    <w:name w:val="页眉 字符"/>
    <w:basedOn w:val="22"/>
    <w:link w:val="17"/>
    <w:qFormat/>
    <w:uiPriority w:val="0"/>
    <w:rPr>
      <w:rFonts w:ascii="Times New Roman" w:hAnsi="Times New Roman" w:eastAsia="宋体" w:cs="Cambria Math"/>
      <w:kern w:val="2"/>
      <w:sz w:val="18"/>
      <w:szCs w:val="18"/>
      <w:lang w:eastAsia="zh-CN"/>
    </w:rPr>
  </w:style>
  <w:style w:type="character" w:customStyle="1" w:styleId="60">
    <w:name w:val="KeywordTok"/>
    <w:basedOn w:val="53"/>
    <w:qFormat/>
    <w:uiPriority w:val="0"/>
    <w:rPr>
      <w:b/>
      <w:color w:val="007020"/>
    </w:rPr>
  </w:style>
  <w:style w:type="character" w:customStyle="1" w:styleId="61">
    <w:name w:val="DataTypeTok"/>
    <w:basedOn w:val="53"/>
    <w:qFormat/>
    <w:uiPriority w:val="0"/>
    <w:rPr>
      <w:color w:val="902000"/>
    </w:rPr>
  </w:style>
  <w:style w:type="character" w:customStyle="1" w:styleId="62">
    <w:name w:val="DecValTok"/>
    <w:basedOn w:val="53"/>
    <w:qFormat/>
    <w:uiPriority w:val="0"/>
    <w:rPr>
      <w:color w:val="40A070"/>
    </w:rPr>
  </w:style>
  <w:style w:type="character" w:customStyle="1" w:styleId="63">
    <w:name w:val="BaseNTok"/>
    <w:basedOn w:val="53"/>
    <w:qFormat/>
    <w:uiPriority w:val="0"/>
    <w:rPr>
      <w:color w:val="40A070"/>
    </w:rPr>
  </w:style>
  <w:style w:type="character" w:customStyle="1" w:styleId="64">
    <w:name w:val="FloatTok"/>
    <w:basedOn w:val="53"/>
    <w:qFormat/>
    <w:uiPriority w:val="0"/>
    <w:rPr>
      <w:color w:val="40A070"/>
    </w:rPr>
  </w:style>
  <w:style w:type="character" w:customStyle="1" w:styleId="65">
    <w:name w:val="ConstantTok"/>
    <w:basedOn w:val="53"/>
    <w:qFormat/>
    <w:uiPriority w:val="0"/>
    <w:rPr>
      <w:color w:val="880000"/>
    </w:rPr>
  </w:style>
  <w:style w:type="character" w:customStyle="1" w:styleId="66">
    <w:name w:val="CharTok"/>
    <w:basedOn w:val="53"/>
    <w:qFormat/>
    <w:uiPriority w:val="0"/>
    <w:rPr>
      <w:color w:val="4070A0"/>
    </w:rPr>
  </w:style>
  <w:style w:type="character" w:customStyle="1" w:styleId="67">
    <w:name w:val="SpecialCharTok"/>
    <w:basedOn w:val="53"/>
    <w:qFormat/>
    <w:uiPriority w:val="0"/>
    <w:rPr>
      <w:color w:val="4070A0"/>
    </w:rPr>
  </w:style>
  <w:style w:type="character" w:customStyle="1" w:styleId="68">
    <w:name w:val="StringTok"/>
    <w:basedOn w:val="53"/>
    <w:qFormat/>
    <w:uiPriority w:val="0"/>
    <w:rPr>
      <w:color w:val="4070A0"/>
    </w:rPr>
  </w:style>
  <w:style w:type="character" w:customStyle="1" w:styleId="69">
    <w:name w:val="VerbatimStringTok"/>
    <w:basedOn w:val="53"/>
    <w:qFormat/>
    <w:uiPriority w:val="0"/>
    <w:rPr>
      <w:color w:val="4070A0"/>
    </w:rPr>
  </w:style>
  <w:style w:type="character" w:customStyle="1" w:styleId="70">
    <w:name w:val="SpecialStringTok"/>
    <w:basedOn w:val="53"/>
    <w:qFormat/>
    <w:uiPriority w:val="0"/>
    <w:rPr>
      <w:color w:val="BB6688"/>
    </w:rPr>
  </w:style>
  <w:style w:type="character" w:customStyle="1" w:styleId="71">
    <w:name w:val="ImportTok"/>
    <w:basedOn w:val="53"/>
    <w:qFormat/>
    <w:uiPriority w:val="0"/>
    <w:rPr>
      <w:b/>
      <w:color w:val="008000"/>
    </w:rPr>
  </w:style>
  <w:style w:type="character" w:customStyle="1" w:styleId="72">
    <w:name w:val="CommentTok"/>
    <w:basedOn w:val="53"/>
    <w:qFormat/>
    <w:uiPriority w:val="0"/>
    <w:rPr>
      <w:i/>
      <w:color w:val="60A0B0"/>
    </w:rPr>
  </w:style>
  <w:style w:type="character" w:customStyle="1" w:styleId="73">
    <w:name w:val="DocumentationTok"/>
    <w:basedOn w:val="53"/>
    <w:qFormat/>
    <w:uiPriority w:val="0"/>
    <w:rPr>
      <w:i/>
      <w:color w:val="BA2121"/>
    </w:rPr>
  </w:style>
  <w:style w:type="character" w:customStyle="1" w:styleId="74">
    <w:name w:val="AnnotationTok"/>
    <w:basedOn w:val="53"/>
    <w:qFormat/>
    <w:uiPriority w:val="0"/>
    <w:rPr>
      <w:b/>
      <w:i/>
      <w:color w:val="60A0B0"/>
    </w:rPr>
  </w:style>
  <w:style w:type="character" w:customStyle="1" w:styleId="75">
    <w:name w:val="CommentVarTok"/>
    <w:basedOn w:val="53"/>
    <w:qFormat/>
    <w:uiPriority w:val="0"/>
    <w:rPr>
      <w:b/>
      <w:i/>
      <w:color w:val="60A0B0"/>
    </w:rPr>
  </w:style>
  <w:style w:type="character" w:customStyle="1" w:styleId="76">
    <w:name w:val="OtherTok"/>
    <w:basedOn w:val="53"/>
    <w:qFormat/>
    <w:uiPriority w:val="0"/>
    <w:rPr>
      <w:color w:val="007020"/>
    </w:rPr>
  </w:style>
  <w:style w:type="character" w:customStyle="1" w:styleId="77">
    <w:name w:val="FunctionTok"/>
    <w:basedOn w:val="53"/>
    <w:qFormat/>
    <w:uiPriority w:val="0"/>
    <w:rPr>
      <w:color w:val="06287E"/>
    </w:rPr>
  </w:style>
  <w:style w:type="character" w:customStyle="1" w:styleId="78">
    <w:name w:val="VariableTok"/>
    <w:basedOn w:val="53"/>
    <w:qFormat/>
    <w:uiPriority w:val="0"/>
    <w:rPr>
      <w:color w:val="19177C"/>
    </w:rPr>
  </w:style>
  <w:style w:type="character" w:customStyle="1" w:styleId="79">
    <w:name w:val="ControlFlowTok"/>
    <w:basedOn w:val="53"/>
    <w:qFormat/>
    <w:uiPriority w:val="0"/>
    <w:rPr>
      <w:b/>
      <w:color w:val="007020"/>
    </w:rPr>
  </w:style>
  <w:style w:type="character" w:customStyle="1" w:styleId="80">
    <w:name w:val="OperatorTok"/>
    <w:basedOn w:val="53"/>
    <w:qFormat/>
    <w:uiPriority w:val="0"/>
    <w:rPr>
      <w:color w:val="666666"/>
    </w:rPr>
  </w:style>
  <w:style w:type="character" w:customStyle="1" w:styleId="81">
    <w:name w:val="BuiltInTok"/>
    <w:basedOn w:val="53"/>
    <w:qFormat/>
    <w:uiPriority w:val="0"/>
    <w:rPr>
      <w:color w:val="008000"/>
    </w:rPr>
  </w:style>
  <w:style w:type="character" w:customStyle="1" w:styleId="82">
    <w:name w:val="ExtensionTok"/>
    <w:basedOn w:val="53"/>
    <w:qFormat/>
    <w:uiPriority w:val="0"/>
  </w:style>
  <w:style w:type="character" w:customStyle="1" w:styleId="83">
    <w:name w:val="PreprocessorTok"/>
    <w:basedOn w:val="53"/>
    <w:qFormat/>
    <w:uiPriority w:val="0"/>
    <w:rPr>
      <w:color w:val="BC7A00"/>
    </w:rPr>
  </w:style>
  <w:style w:type="character" w:customStyle="1" w:styleId="84">
    <w:name w:val="AttributeTok"/>
    <w:basedOn w:val="53"/>
    <w:qFormat/>
    <w:uiPriority w:val="0"/>
    <w:rPr>
      <w:color w:val="7D9029"/>
    </w:rPr>
  </w:style>
  <w:style w:type="character" w:customStyle="1" w:styleId="85">
    <w:name w:val="RegionMarkerTok"/>
    <w:basedOn w:val="53"/>
    <w:qFormat/>
    <w:uiPriority w:val="0"/>
  </w:style>
  <w:style w:type="character" w:customStyle="1" w:styleId="86">
    <w:name w:val="InformationTok"/>
    <w:basedOn w:val="53"/>
    <w:qFormat/>
    <w:uiPriority w:val="0"/>
    <w:rPr>
      <w:b/>
      <w:i/>
      <w:color w:val="60A0B0"/>
    </w:rPr>
  </w:style>
  <w:style w:type="character" w:customStyle="1" w:styleId="87">
    <w:name w:val="WarningTok"/>
    <w:basedOn w:val="53"/>
    <w:qFormat/>
    <w:uiPriority w:val="0"/>
    <w:rPr>
      <w:b/>
      <w:i/>
      <w:color w:val="60A0B0"/>
    </w:rPr>
  </w:style>
  <w:style w:type="character" w:customStyle="1" w:styleId="88">
    <w:name w:val="AlertTok"/>
    <w:basedOn w:val="53"/>
    <w:qFormat/>
    <w:uiPriority w:val="0"/>
    <w:rPr>
      <w:b/>
      <w:color w:val="FF0000"/>
    </w:rPr>
  </w:style>
  <w:style w:type="character" w:customStyle="1" w:styleId="89">
    <w:name w:val="ErrorTok"/>
    <w:basedOn w:val="53"/>
    <w:qFormat/>
    <w:uiPriority w:val="0"/>
    <w:rPr>
      <w:b/>
      <w:color w:val="FF0000"/>
    </w:rPr>
  </w:style>
  <w:style w:type="character" w:customStyle="1" w:styleId="90">
    <w:name w:val="NormalTok"/>
    <w:basedOn w:val="53"/>
    <w:qFormat/>
    <w:uiPriority w:val="0"/>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theme" Target="theme/theme1.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10</Pages>
  <Words>1807</Words>
  <Characters>12461</Characters>
  <Lines>2</Lines>
  <Paragraphs>1</Paragraphs>
  <TotalTime>40</TotalTime>
  <ScaleCrop>false</ScaleCrop>
  <LinksUpToDate>false</LinksUpToDate>
  <CharactersWithSpaces>14188</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2026-06-05T09:09:00Z</dcterms:created>
  <dc:creator>乐天</dc:creator>
  <cp:lastModifiedBy>乐天</cp:lastModifiedBy>
  <dcterms:modified xsi:type="dcterms:W3CDTF">2026-06-05T09:10:00Z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ICV">
    <vt:lpwstr>E10F50FE06E4487DB2EDCE62EC0B7066_13</vt:lpwstr>
  </property>
</Properties>
</file>