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POC I — Decisões de projeto (atualizado em 13/10/2026)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Texto do rascunho atualizado com as decisões tomadas após as sugestões da Profa. Gisele. Itens marcados com [A CONFIRMAR] ainda dependem da orientadora.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Resumo das mudanças após a reunião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Antes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Agora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Escopo do POC I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+ surrogate e teste de sanidade; LLM no POC II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três variantes, inclusive o LLM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e os experimentos completos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ZDT1 (uma função)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bbob-biobj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da plataforma COCO (55 funções)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Dimensões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variáveis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5, 10 e 20 variáveis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Indicadores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IGD e HV com ponto de referência (1.1, 7.3)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Indicadores do COCO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delta_HV e avaliações até os alvos (curvas ECDF)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Repetições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seeds 1 a 10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instâncias 1 a 15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do COCO, uma execução por instância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Orçamento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avaliações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 × 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150, 300 e 600 avaliações [A CONFIRMAR]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População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(testada no ZDT1)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testada e decidida no próprio bbob-biobj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Candidatos da variante B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por geração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100, 200 e 500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serão comparados; o Random Forest sempre escolhe 20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definir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do Claude (Anthropic)</w:t>
            </w:r>
          </w:p>
        </w:tc>
      </w:tr>
    </w:tbl>
    <w:p>
      <w:pPr>
        <w:spacing w:after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O método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Um algoritmo evolutivo multiobjetivo que combine: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Um modelo substituto</w:t>
      </w:r>
      <w:r>
        <w:rPr>
          <w:rFonts w:ascii="Arial" w:cs="Arial" w:eastAsia="Arial" w:hAnsi="Arial"/>
          <w:sz w:val="22"/>
          <w:szCs w:val="22"/>
        </w:rPr>
        <w:t xml:space="preserve"> (para pré-selecionar candidatos): o surrogate estima quais soluções são promissoras.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LLM</w:t>
      </w:r>
      <w:r>
        <w:rPr>
          <w:rFonts w:ascii="Arial" w:cs="Arial" w:eastAsia="Arial" w:hAnsi="Arial"/>
          <w:sz w:val="22"/>
          <w:szCs w:val="22"/>
        </w:rPr>
        <w:t xml:space="preserve"> (para gerar e modificar soluções): o LLM propõe modificações informadas pelo histórico, em vez de mudanças aleatórias.</w:t>
      </w:r>
    </w:p>
    <w:p>
      <w:pPr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Figura: uma geração do método (variante C). Muitos candidatos entram no topo do funil; o Random Forest filtra, e só 20 gastam avaliação real. A variante B é a mesma figura sem o LLM, e a variante A (baseline) não tem o funil: os 20 filhos vão direto para a avaliação real.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LLM entra como uma segunda fonte de candidatos, ao lado do cruzamento e da mutação. O Random Forest filtra todos da mesma forma, e só os melhores gastam avaliação real. O LLM propõe, o surrogate julga.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Hipótese:</w:t>
      </w:r>
      <w:r>
        <w:rPr>
          <w:rFonts w:ascii="Arial" w:cs="Arial" w:eastAsia="Arial" w:hAnsi="Arial"/>
          <w:sz w:val="22"/>
          <w:szCs w:val="22"/>
        </w:rPr>
        <w:t xml:space="preserve"> combinar LLM (gerando candidatos) e surrogate (filtrando candidatos) produz uma aproximação da fronteira de Pareto de melhor qualidade,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medida pelos indicadores da plataforma COCO</w:t>
      </w:r>
      <w:r>
        <w:rPr>
          <w:rFonts w:ascii="Arial" w:cs="Arial" w:eastAsia="Arial" w:hAnsi="Arial"/>
          <w:sz w:val="22"/>
          <w:szCs w:val="22"/>
        </w:rPr>
        <w:t xml:space="preserve">, usando menos avaliações reais do que o NSGA-II puro e o NSGA-II + surrogate.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</w:t>
      </w:r>
      <w:r>
        <w:rPr>
          <w:rFonts w:ascii="Arial" w:cs="Arial" w:eastAsia="Arial" w:hAnsi="Arial"/>
          <w:sz w:val="22"/>
          <w:szCs w:val="22"/>
        </w:rPr>
        <w:t xml:space="preserve"> desenvolver e avaliar, de forma incremental, três variantes (NSGA-II clássico; NSGA-II + surrogate; NSGA-II + surrogate + LLM) sob um orçamento restrito de avaliações reais, 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suíte bbob-biobj da plataforma COCO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Objetivos do POC I (tudo passa a ser feito no POC 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Delimitar a proposta frente ao LLM-SAEA e ao PartEvo.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Implementar o NSGA-II puro em Python/DEAP e integrá-lo à plataforma COCO.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Feito.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Implementar um surrogate Random Forest com uma estratégia simples de pré-seleção.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Integrar o LLM como operador de geração/variação, atuando antes do filtro do surrogate.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Rodar os experimentos nas 55 funções do bbob-biobj, em D = 5, 10 e 20, mantendo o orçamento restrito.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Comparar estatisticamente as três variantes com os indicadores do COCO, além do custo computacional e do número de chamadas ao LLM.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Entregar relatório final, vídeo pitch e pôster.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POC II:</w:t>
      </w:r>
      <w:r>
        <w:rPr>
          <w:rFonts w:ascii="Arial" w:cs="Arial" w:eastAsia="Arial" w:hAnsi="Arial"/>
          <w:sz w:val="22"/>
          <w:szCs w:val="22"/>
        </w:rPr>
        <w:t xml:space="preserve"> analisar os componentes separadamente. [A CONFIRMAR o escopo com a orientadora]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Benchmark: bbob-biobj (COCO)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ZDT1 foi substituído, como sugerido pela orientadora, pela suíte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bbob-biobj</w:t>
      </w:r>
      <w:r>
        <w:rPr>
          <w:rFonts w:ascii="Arial" w:cs="Arial" w:eastAsia="Arial" w:hAnsi="Arial"/>
          <w:sz w:val="22"/>
          <w:szCs w:val="22"/>
        </w:rPr>
        <w:t xml:space="preserve"> da plataforma COCO (Black-Box Optimization Benchmarking; TUŠAR et al., 2016).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55 funções</w:t>
      </w:r>
      <w:r>
        <w:rPr>
          <w:rFonts w:ascii="Arial" w:cs="Arial" w:eastAsia="Arial" w:hAnsi="Arial"/>
          <w:sz w:val="22"/>
          <w:szCs w:val="22"/>
        </w:rPr>
        <w:t xml:space="preserve"> de 2 objetivos. Cada uma combina duas funções da suíte bbob de 1 objetivo (Sphere, Rosenbrock, Rastrigin, Gallagher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 funções formam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15 grupos de dificuldade</w:t>
      </w:r>
      <w:r>
        <w:rPr>
          <w:rFonts w:ascii="Arial" w:cs="Arial" w:eastAsia="Arial" w:hAnsi="Arial"/>
          <w:sz w:val="22"/>
          <w:szCs w:val="22"/>
        </w:rPr>
        <w:t xml:space="preserve">: separável, moderada, mal-condicionada, multimodal e fracamente estruturada, combinadas duas a duas.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Dimensões:</w:t>
      </w:r>
      <w:r>
        <w:rPr>
          <w:rFonts w:ascii="Arial" w:cs="Arial" w:eastAsia="Arial" w:hAnsi="Arial"/>
          <w:sz w:val="22"/>
          <w:szCs w:val="22"/>
        </w:rPr>
        <w:t xml:space="preserve"> 5, 10 e 20 variáveis.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Região de busca:</w:t>
      </w:r>
      <w:r>
        <w:rPr>
          <w:rFonts w:ascii="Arial" w:cs="Arial" w:eastAsia="Arial" w:hAnsi="Arial"/>
          <w:sz w:val="22"/>
          <w:szCs w:val="22"/>
        </w:rPr>
        <w:t xml:space="preserve"> [−5, 5] em cada variável.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Repetições:</w:t>
      </w:r>
      <w:r>
        <w:rPr>
          <w:rFonts w:ascii="Arial" w:cs="Arial" w:eastAsia="Arial" w:hAnsi="Arial"/>
          <w:sz w:val="22"/>
          <w:szCs w:val="22"/>
        </w:rPr>
        <w:t xml:space="preserve"> instâncias 1 a 15. Cada instância é a mesma função deslocada e rotacionada, e elas fazem o papel das seeds.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fronteira de Pareto verdadeira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não é conhecida</w:t>
      </w:r>
      <w:r>
        <w:rPr>
          <w:rFonts w:ascii="Arial" w:cs="Arial" w:eastAsia="Arial" w:hAnsi="Arial"/>
          <w:sz w:val="22"/>
          <w:szCs w:val="22"/>
        </w:rPr>
        <w:t xml:space="preserve"> na maioria das funções. Por isso o IGD sai do projeto.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 que a bbob-biobj, e não a bbob-biobj-ext (92 funções, mais recente):</w:t>
      </w:r>
      <w:r>
        <w:rPr>
          <w:rFonts w:ascii="Arial" w:cs="Arial" w:eastAsia="Arial" w:hAnsi="Arial"/>
          <w:sz w:val="22"/>
          <w:szCs w:val="22"/>
        </w:rPr>
        <w:t xml:space="preserve"> a original é a mais usada, tem arquivo público com resultados de outros algoritmos e suporte completo na ferramenta de análise do COCO, inclusive o algoritmo de referência "best 2016". Na extensão, esse algoritmo de referência ainda não está disponível.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Vantagem para o LLM:</w:t>
      </w:r>
      <w:r>
        <w:rPr>
          <w:rFonts w:ascii="Arial" w:cs="Arial" w:eastAsia="Arial" w:hAnsi="Arial"/>
          <w:sz w:val="22"/>
          <w:szCs w:val="22"/>
        </w:rPr>
        <w:t xml:space="preserve"> como as instâncias são deslocadas e rotacionadas, o LLM não tem como "saber" a resposta por ter visto a função no treinamento. No ZDT1 esse risco existia.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Indicadores: os da plataforma COCO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Saem o IGD e o ponto de referência (1.1, 7.3). Entram os indicadores que o próprio COCO usa (BROCKHOFF et al., 2016):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delta_HV:</w:t>
      </w:r>
      <w:r>
        <w:rPr>
          <w:rFonts w:ascii="Arial" w:cs="Arial" w:eastAsia="Arial" w:hAnsi="Arial"/>
          <w:sz w:val="22"/>
          <w:szCs w:val="22"/>
        </w:rPr>
        <w:t xml:space="preserve"> o COCO guarda todas as soluções não dominadas avaliadas, normaliza os objetivos pelos pontos ideal e nadir e mede a diferença entre o hipervolume de referência (melhor aproximação conhecida) e o hipervolume obtido.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Menor é melhor</w:t>
      </w:r>
      <w:r>
        <w:rPr>
          <w:rFonts w:ascii="Arial" w:cs="Arial" w:eastAsia="Arial" w:hAnsi="Arial"/>
          <w:sz w:val="22"/>
          <w:szCs w:val="22"/>
        </w:rPr>
        <w:t xml:space="preserve">; 0 significa ter alcançado a referência.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Avaliações até os alvos:</w:t>
      </w:r>
      <w:r>
        <w:rPr>
          <w:rFonts w:ascii="Arial" w:cs="Arial" w:eastAsia="Arial" w:hAnsi="Arial"/>
          <w:sz w:val="22"/>
          <w:szCs w:val="22"/>
        </w:rPr>
        <w:t xml:space="preserve"> o COCO define 58 alvos de delta_HV e mede quantas avaliações cada algoritmo precisa para atingir cada um.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curvas ECDF</w:t>
      </w:r>
      <w:r>
        <w:rPr>
          <w:rFonts w:ascii="Arial" w:cs="Arial" w:eastAsia="Arial" w:hAnsi="Arial"/>
          <w:sz w:val="22"/>
          <w:szCs w:val="22"/>
        </w:rPr>
        <w:t xml:space="preserve"> mostram que fração dos alvos já foi atingida a cada número de avaliações.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Essa medida responde diretamente à pergunta de pesquisa, que é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convergir com menos avaliações reais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NSGA-II baseline (variante A)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[Manter aqui a figura do fluxo do baseline que já está no documento.]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Parâmetros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bbob-biobj: 55 funções, D = 5, 10 e 20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Orçamento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× D: 150 (D = 5), 300 (D = 10), 600 (D = 20) [A CONFIRMAR]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População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Amostra inicial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por enquanto [A DECIDIR na Fase 3]; testada no bbob-biobj (ver abaixo)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consequência do orçamento: 6 + 1 parcial (D = 5), 14 (D = 10), 29 (D = 20)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Repetições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instâncias 1 a 15 (seed = número da instância)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SBX (probabilidade 0.9, eta 20) e mutação polinomial (1/D, eta 20), como no artigo original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Indicadores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delta_HV e ECDF do COCO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Resultados (2.475 execuções: 55 funções × 3 dimensões × 15 instâncias)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Mediana do delta_HV final (menor é melhor), comparando o NSGA-II com uma busca aleatória de mesmo orçamento: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1400"/>
        <w:gridCol w:w="1700"/>
        <w:gridCol w:w="1900"/>
        <w:gridCol w:w="23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Orçamento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NSGA-II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Busca aleatória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NSGA-II melhor em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Execuções com delta_HV ≤ 0.1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0.271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0.384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78%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0.292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0.594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97%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0.306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0.727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NSGA-II funciona no novo benchmark:</w:t>
      </w:r>
      <w:r>
        <w:rPr>
          <w:rFonts w:ascii="Arial" w:cs="Arial" w:eastAsia="Arial" w:hAnsi="Arial"/>
          <w:sz w:val="22"/>
          <w:szCs w:val="22"/>
        </w:rPr>
        <w:t xml:space="preserve"> é muito melhor que sortear soluções, e a vantagem cresce com a dimensão.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 fica longe da referência:</w:t>
      </w:r>
      <w:r>
        <w:rPr>
          <w:rFonts w:ascii="Arial" w:cs="Arial" w:eastAsia="Arial" w:hAnsi="Arial"/>
          <w:sz w:val="22"/>
          <w:szCs w:val="22"/>
        </w:rPr>
        <w:t xml:space="preserve"> só 10% a 16% das execuções chegam a delta_HV ≤ 0.1. Há espaço para o surrogate melhorar.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funções multimodais e fracamente estruturadas são as mais difíceis</w:t>
      </w:r>
      <w:r>
        <w:rPr>
          <w:rFonts w:ascii="Arial" w:cs="Arial" w:eastAsia="Arial" w:hAnsi="Arial"/>
          <w:sz w:val="22"/>
          <w:szCs w:val="22"/>
        </w:rPr>
        <w:t xml:space="preserve">; as separáveis e moderadas, as mais fáceis.</w:t>
      </w:r>
    </w:p>
    <w:p>
      <w:pPr>
        <w:jc w:val="center"/>
      </w:pPr>
      <w:r>
        <w:drawing>
          <wp:inline distT="0" distB="0" distL="0" distR="0">
            <wp:extent cx="59055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Figura: mediana do delta_HV ao longo do orçamento (faixa = quartis 25%–75%). As curvas do NSGA-II e da busca aleatória se separam cedo, e a distância aumenta com a dimensão.</w:t>
      </w:r>
    </w:p>
    <w:p>
      <w:pPr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Figura: curva ECDF oficial do COCO para D = 10. Só o trecho até log10(30) ≈ 1,5 tem dados (o orçamento); depois disso a linha apenas prolonga o último valor. O "best 2016" é o melhor desempenho conhecido no arquivo do COCO.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Validação do código (no próprio bbob-biobj)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Todos os testes de correção foram refeitos no bbob-biobj (6 de 6 passaram). Como a fronteira verdadeira não é conhecida, a correção é conferida contra a referência do COCO (a melhor aproximação conhecida):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Convergência:</w:t>
      </w:r>
      <w:r>
        <w:rPr>
          <w:rFonts w:ascii="Arial" w:cs="Arial" w:eastAsia="Arial" w:hAnsi="Arial"/>
          <w:sz w:val="22"/>
          <w:szCs w:val="22"/>
        </w:rPr>
        <w:t xml:space="preserve"> com 20.000 avaliações, o NSGA-II chega a delta_HV de 0,0018, 0,0004 e 0,0004 nas funções mais fáceis (f1, f2 e f11 em D = 5), e o resultado melhora quando o orçamento cresce.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Orçamento:</w:t>
      </w:r>
      <w:r>
        <w:rPr>
          <w:rFonts w:ascii="Arial" w:cs="Arial" w:eastAsia="Arial" w:hAnsi="Arial"/>
          <w:sz w:val="22"/>
          <w:szCs w:val="22"/>
        </w:rPr>
        <w:t xml:space="preserve"> usa exatamente 150, 300 e 600 avaliações e bloqueia qualquer excesso; o COCO conta as mesmas avaliações que o algoritmo.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Reprodutibilidade:</w:t>
      </w:r>
      <w:r>
        <w:rPr>
          <w:rFonts w:ascii="Arial" w:cs="Arial" w:eastAsia="Arial" w:hAnsi="Arial"/>
          <w:sz w:val="22"/>
          <w:szCs w:val="22"/>
        </w:rPr>
        <w:t xml:space="preserve"> a mesma seed reproduz o mesmo resultado.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Melhor que o acaso:</w:t>
      </w:r>
      <w:r>
        <w:rPr>
          <w:rFonts w:ascii="Arial" w:cs="Arial" w:eastAsia="Arial" w:hAnsi="Arial"/>
          <w:sz w:val="22"/>
          <w:szCs w:val="22"/>
        </w:rPr>
        <w:t xml:space="preserve"> em D = 10, o NSGA-II vence a busca aleatória nas 55 funções.</w:t>
      </w:r>
    </w:p>
    <w:p>
      <w:pPr>
        <w:jc w:val="center"/>
      </w:pPr>
      <w:r>
        <w:drawing>
          <wp:inline distT="0" distB="0" distL="0" distR="0">
            <wp:extent cx="40005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Figura: com muitas avaliações, o NSGA-II chega perto da referência, então o código está correto. A linha tracejada é o orçamento do projeto (150 em D = 5): ali ele ainda está longe, e é esse o problema que o projeto ataca.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População: como vamos fazer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população de 20 é baixa para os padrões do NSGA-II (o artigo original usa 100). Por isso o teste foi repetido no próprio bbob-biobj, com populações de 8 a 100 (2.475 execuções cada):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60"/>
        <w:gridCol w:w="1230"/>
        <w:gridCol w:w="1230"/>
        <w:gridCol w:w="1230"/>
        <w:gridCol w:w="1230"/>
        <w:gridCol w:w="1230"/>
        <w:gridCol w:w="125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Orçamento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pop 8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pop 12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pop 20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pop 40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pop 60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pop 100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0.238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0.245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0.271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0.330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0.358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0.385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0.303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0.298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0.292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0.366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0.438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0.523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0.362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0.332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0.306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0.350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0.407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0.525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distT="0" distB="0" distL="0" distR="0">
            <wp:extent cx="4572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Figura: mediana do delta_HV final por tamanho de população. Acima de 20, o resultado piora nas três dimensões.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Aumentar a população piora o resultado</w:t>
      </w:r>
      <w:r>
        <w:rPr>
          <w:rFonts w:ascii="Arial" w:cs="Arial" w:eastAsia="Arial" w:hAnsi="Arial"/>
          <w:sz w:val="22"/>
          <w:szCs w:val="22"/>
        </w:rPr>
        <w:t xml:space="preserve"> em todas as dimensões (teste de Wilcoxon pareado, p &lt; 10⁻²⁸ para 40, 60 e 100). Com o orçamento apertado, cada indivíduo a mais é uma geração a menos: em D = 10, a população 100 faz só 2 gerações.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população 20 é a melhor em D = 20 e empata com a 12 em D = 10. Em D = 5, populações menores são um pouco melhores (0.238 com 8).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Decisão:</w:t>
      </w:r>
      <w:r>
        <w:rPr>
          <w:rFonts w:ascii="Arial" w:cs="Arial" w:eastAsia="Arial" w:hAnsi="Arial"/>
          <w:sz w:val="22"/>
          <w:szCs w:val="22"/>
        </w:rPr>
        <w:t xml:space="preserve"> manter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população em 20</w:t>
      </w:r>
      <w:r>
        <w:rPr>
          <w:rFonts w:ascii="Arial" w:cs="Arial" w:eastAsia="Arial" w:hAnsi="Arial"/>
          <w:sz w:val="22"/>
          <w:szCs w:val="22"/>
        </w:rPr>
        <w:t xml:space="preserve"> em todas as dimensões 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ampliar a exploração na variante B</w:t>
      </w:r>
      <w:r>
        <w:rPr>
          <w:rFonts w:ascii="Arial" w:cs="Arial" w:eastAsia="Arial" w:hAnsi="Arial"/>
          <w:sz w:val="22"/>
          <w:szCs w:val="22"/>
        </w:rPr>
        <w:t xml:space="preserve">, que vai gerar mais candidatos por geração e avaliar só 20 deles. Assim, o algoritmo olha muito mais soluções sem gastar orçamento. É a mesma ideia de algoritmos assistidos por surrogate da literatura, que exploram bastante no modelo e avaliam poucas soluções de verdade (o K-RVEA reavalia 5 por atualização; CHUGH et al., 2018).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31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Candidatos por geração (variante B)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Avaliados de verdade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Cada avaliação vai para o melhor de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três valores serão comparados na Fase 3, e o melhor vira o valor final. [A CONFIRMAR: usar uma população por dimensão, por exemplo 12 em D = 5, ou manter 20 em todas]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Amostra inicial: o que o bbob-biobj mostrou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amostra inicial são as soluções aleatórias avaliadas antes da evolução. Na variante B, ela é o primeiro conjunto de treino do Random Forest, então importa saber se aumentá-la prejudica o algoritmo. O teste foi feito no NSGA-II puro (população 20), com 2.475 execuções por opção. Mediana do delta_HV final: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1900"/>
        <w:gridCol w:w="1600"/>
        <w:gridCol w:w="38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Orçamento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 (clássico)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11D − 1 (regra do K-RVEA)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0.271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0.252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0.260 (54 soluções)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0.292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0.280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0.298 (109 soluções)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0.299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0.310 (219 soluções)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distT="0" distB="0" distL="0" distR="0">
            <wp:extent cx="41910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Figura: mediana do delta_HV final por tamanho da amostra inicial (entre parênteses, o número de soluções). As diferenças são pequenas.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40 é um pouco melhor que 20 nas três dimensões</w:t>
      </w:r>
      <w:r>
        <w:rPr>
          <w:rFonts w:ascii="Arial" w:cs="Arial" w:eastAsia="Arial" w:hAnsi="Arial"/>
          <w:sz w:val="22"/>
          <w:szCs w:val="22"/>
        </w:rPr>
        <w:t xml:space="preserve"> (Wilcoxon pareado, p &lt; 0,005), mas a diferença é pequena (0,01 a 0,02).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11D − 1 empata com 20 em D = 10 e D = 20</w:t>
      </w:r>
      <w:r>
        <w:rPr>
          <w:rFonts w:ascii="Arial" w:cs="Arial" w:eastAsia="Arial" w:hAnsi="Arial"/>
          <w:sz w:val="22"/>
          <w:szCs w:val="22"/>
        </w:rPr>
        <w:t xml:space="preserve">, mesmo gastando mais de um terço do orçamento na amostra.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Leitura:</w:t>
      </w:r>
      <w:r>
        <w:rPr>
          <w:rFonts w:ascii="Arial" w:cs="Arial" w:eastAsia="Arial" w:hAnsi="Arial"/>
          <w:sz w:val="22"/>
          <w:szCs w:val="22"/>
        </w:rPr>
        <w:t xml:space="preserve"> uma amostra inicial maior não atrapalha o NSGA-II puro, o que abre espaço para dar mais dados ao Random Forest.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 protocolo continua com 20</w:t>
      </w:r>
      <w:r>
        <w:rPr>
          <w:rFonts w:ascii="Arial" w:cs="Arial" w:eastAsia="Arial" w:hAnsi="Arial"/>
          <w:sz w:val="22"/>
          <w:szCs w:val="22"/>
        </w:rPr>
        <w:t xml:space="preserve"> até a Fase 3, que vai testar 20, 40 e 11D − 1 já com o surrogate. [A CONFIRMAR com a orientadora]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Próximos experimentos: variante B (NSGA-II + Random Forest)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Parâmetros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Mesmo protocolo do baseline: bbob-biobj, D = 5, 10 e 20, instâncias 1 a 15, orçamento 30 × D, população 20.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geração gera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100, 200 ou 500 filhos</w:t>
      </w:r>
      <w:r>
        <w:rPr>
          <w:rFonts w:ascii="Arial" w:cs="Arial" w:eastAsia="Arial" w:hAnsi="Arial"/>
          <w:sz w:val="22"/>
          <w:szCs w:val="22"/>
        </w:rPr>
        <w:t xml:space="preserve">, e o Random Forest escolhe os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20</w:t>
      </w:r>
      <w:r>
        <w:rPr>
          <w:rFonts w:ascii="Arial" w:cs="Arial" w:eastAsia="Arial" w:hAnsi="Arial"/>
          <w:sz w:val="22"/>
          <w:szCs w:val="22"/>
        </w:rPr>
        <w:t xml:space="preserve"> mais promissores para a avaliação real. O orçamento por geração continua 20, igual ao baseline.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Mesmas seeds do baseline: as duas variantes partem da mesma amostra inicial em cada instância.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Random Forest surrogate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</w:t>
      </w:r>
      <w:r>
        <w:rPr>
          <w:rFonts w:ascii="Arial" w:cs="Arial" w:eastAsia="Arial" w:hAnsi="Arial"/>
          <w:sz w:val="22"/>
          <w:szCs w:val="22"/>
        </w:rPr>
        <w:t xml:space="preserve"> variante B funcionando.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integrar:</w:t>
      </w:r>
      <w:r>
        <w:rPr>
          <w:rFonts w:ascii="Arial" w:cs="Arial" w:eastAsia="Arial" w:hAnsi="Arial"/>
          <w:sz w:val="22"/>
          <w:szCs w:val="22"/>
        </w:rPr>
        <w:t xml:space="preserve"> a mudança é só no passo "gerar filhos → avaliar". Gerar 100, 200 ou 500 filhos, prever, selecionar 20 e avaliar os escolhidos.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Dataset inicial:</w:t>
      </w:r>
      <w:r>
        <w:rPr>
          <w:rFonts w:ascii="Arial" w:cs="Arial" w:eastAsia="Arial" w:hAnsi="Arial"/>
          <w:sz w:val="22"/>
          <w:szCs w:val="22"/>
        </w:rPr>
        <w:t xml:space="preserve"> a amostra inicial avaliada de verdade forma o primeiro arquivo. [A DECIDIR] o tamanho: 20, 40 ou 11D − 1 (no NSGA-II puro, uma amostra maior não atrapalhou; ver a seção da amostra inicial). [SUGESTÃO] Amostragem por Latin Hypercube.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Quando treinar e atualizar:</w:t>
      </w:r>
      <w:r>
        <w:rPr>
          <w:rFonts w:ascii="Arial" w:cs="Arial" w:eastAsia="Arial" w:hAnsi="Arial"/>
          <w:sz w:val="22"/>
          <w:szCs w:val="22"/>
        </w:rPr>
        <w:t xml:space="preserve"> [EM ABERTO]. A opção mais simples é retreinar a cada geração com todo o arquivo.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selecionar:</w:t>
      </w:r>
      <w:r>
        <w:rPr>
          <w:rFonts w:ascii="Arial" w:cs="Arial" w:eastAsia="Arial" w:hAnsi="Arial"/>
          <w:sz w:val="22"/>
          <w:szCs w:val="22"/>
        </w:rPr>
        <w:t xml:space="preserve"> [EM ABERTO]. [SUGESTÃO] Non-dominated sorting + crowding distance sobre as previsões.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Testes de sanidade: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Medir o erro do RF (R² ou erro médio) em candidatos que depois foram avaliados. Ele deve melhorar com o tempo.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Teste com candidatos = 20 (sem folga para filtrar): B deve se comportar como A.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Teste com um "surrogate oráculo", que usa a função real como previsão: deve ser o limite superior de desempenho.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Critério:</w:t>
      </w:r>
      <w:r>
        <w:rPr>
          <w:rFonts w:ascii="Arial" w:cs="Arial" w:eastAsia="Arial" w:hAnsi="Arial"/>
          <w:sz w:val="22"/>
          <w:szCs w:val="22"/>
        </w:rPr>
        <w:t xml:space="preserve"> os testes passam e o orçamento é respeitado.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Experimento A × 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Execução:</w:t>
      </w:r>
      <w:r>
        <w:rPr>
          <w:rFonts w:ascii="Arial" w:cs="Arial" w:eastAsia="Arial" w:hAnsi="Arial"/>
          <w:sz w:val="22"/>
          <w:szCs w:val="22"/>
        </w:rPr>
        <w:t xml:space="preserve"> as 55 funções, D = 5, 10 e 20, instâncias 1 a 15, orçamento igual para A e 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Dados a guardar:</w:t>
      </w:r>
      <w:r>
        <w:rPr>
          <w:rFonts w:ascii="Arial" w:cs="Arial" w:eastAsia="Arial" w:hAnsi="Arial"/>
          <w:sz w:val="22"/>
          <w:szCs w:val="22"/>
        </w:rPr>
        <w:t xml:space="preserve"> os registros do COCO (todas as avaliações), o erro do surrogate, o tempo de execução, a configuração completa e a seed.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Análise:</w:t>
      </w:r>
      <w:r>
        <w:rPr>
          <w:rFonts w:ascii="Arial" w:cs="Arial" w:eastAsia="Arial" w:hAnsi="Arial"/>
          <w:sz w:val="22"/>
          <w:szCs w:val="22"/>
        </w:rPr>
        <w:t xml:space="preserve"> curvas ECDF do COCO, mediana do delta_HV por dimensão e por grupo de funções, e teste de Wilcoxon pareado por instância.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Critério:</w:t>
      </w:r>
      <w:r>
        <w:rPr>
          <w:rFonts w:ascii="Arial" w:cs="Arial" w:eastAsia="Arial" w:hAnsi="Arial"/>
          <w:sz w:val="22"/>
          <w:szCs w:val="22"/>
        </w:rPr>
        <w:t xml:space="preserve"> resultados reproduzíveis (a mesma seed dá o mesmo resultado).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Variante C (NSGA-II + Random Forest + LLM)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LLM:</w:t>
      </w:r>
      <w:r>
        <w:rPr>
          <w:rFonts w:ascii="Arial" w:cs="Arial" w:eastAsia="Arial" w:hAnsi="Arial"/>
          <w:sz w:val="22"/>
          <w:szCs w:val="22"/>
        </w:rPr>
        <w:t xml:space="preserve"> API do Claude (Anthropic). Os experimentos com o LLM rodam no meu computador, com a minha chave de acesso.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encaixe será testado primeiro com um "LLM falso" (que devolve soluções aleatórias), sem custo.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 causa do custo das chamadas, a variante C pode rodar num subconjunto: por exemplo, uma função por grupo (15 funções) em D = 10.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[EM ABERTO] Modelo exato, conteúdo do prompt, frequência das chamadas e se o LLM soma ou substitui candidatos.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Pontos para confirmar com a orientadora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Orçamento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30 × D</w:t>
      </w:r>
      <w:r>
        <w:rPr>
          <w:rFonts w:ascii="Arial" w:cs="Arial" w:eastAsia="Arial" w:hAnsi="Arial"/>
          <w:sz w:val="22"/>
          <w:szCs w:val="22"/>
        </w:rPr>
        <w:t xml:space="preserve"> (150, 300 e 600 avaliações).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População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20 em todas as dimensões</w:t>
      </w:r>
      <w:r>
        <w:rPr>
          <w:rFonts w:ascii="Arial" w:cs="Arial" w:eastAsia="Arial" w:hAnsi="Arial"/>
          <w:sz w:val="22"/>
          <w:szCs w:val="22"/>
        </w:rPr>
        <w:t xml:space="preserve"> ou ajustada por dimensão (por exemplo, 12 em D = 5).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Tamanho da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amostra inicial</w:t>
      </w:r>
      <w:r>
        <w:rPr>
          <w:rFonts w:ascii="Arial" w:cs="Arial" w:eastAsia="Arial" w:hAnsi="Arial"/>
          <w:sz w:val="22"/>
          <w:szCs w:val="22"/>
        </w:rPr>
        <w:t xml:space="preserve">, que é o primeiro conjunto de treino do Random Forest.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Escopo do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POC II</w:t>
      </w:r>
      <w:r>
        <w:rPr>
          <w:rFonts w:ascii="Arial" w:cs="Arial" w:eastAsia="Arial" w:hAnsi="Arial"/>
          <w:sz w:val="22"/>
          <w:szCs w:val="22"/>
        </w:rPr>
        <w:t xml:space="preserve">, agora que tudo passou para o POC I.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Rodar a variante C (LLM) 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todas as funções ou num subconjunto</w:t>
      </w:r>
      <w:r>
        <w:rPr>
          <w:rFonts w:ascii="Arial" w:cs="Arial" w:eastAsia="Arial" w:hAnsi="Arial"/>
          <w:sz w:val="22"/>
          <w:szCs w:val="22"/>
        </w:rPr>
        <w:t xml:space="preserve">, por causa do custo.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Referências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BROCKHOFF, D.; TUŠAR, T.; TUŠAR, D.; WAGNER, T.; HANSEN, N.; AUGER, A. Biobjective performance assessment with the COCO platform. arXiv:1605.01746, 2016.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CHUGH, T.; JIN, Y.; MIETTINEN, K.; HAKANEN, J.; SINDHYA, K. A surrogate-assisted reference vector guided evolutionary algorithm for computationally expensive many-objective optimization. IEEE Transactions on Evolutionary Computation, v. 22, n. 1, p. 129-142, 2018.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DEB, K.; PRATAP, A.; AGARWAL, S.; MEYARIVAN, T. A fast and elitist multiobjective genetic algorithm: NSGA-II. IEEE Transactions on Evolutionary Computation, v. 6, n. 2, p. 182-197, 2002.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HANSEN, N.; AUGER, A.; ROS, R.; MERSMANN, O.; TUŠAR, T.; BROCKHOFF, D. COCO: a platform for comparing continuous optimizers in a black-box setting. Optimization Methods and Software, v. 36, n. 1, p. 114-144, 2021.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TUŠAR, T.; BROCKHOFF, D.; HANSEN, N.; AUGER, A. COCO: the bi-objective black box optimization benchmarking (bbob-biobj) test suite. arXiv:1604.00359, 2016.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597"/>
      <w:sz w:val="25"/>
      <w:szCs w:val="25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1F3864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83ea1db505c2733d22939abbe8f925c77c408a.png"/><Relationship Id="rId8" Type="http://schemas.openxmlformats.org/officeDocument/2006/relationships/image" Target="media/41ee7afd0e9e50b1300a5e9d02003f16b1ebc2d5.png"/><Relationship Id="rId9" Type="http://schemas.openxmlformats.org/officeDocument/2006/relationships/image" Target="media/92e8ba3fe7525493e9405c4b41316876cc60356d.png"/><Relationship Id="rId10" Type="http://schemas.openxmlformats.org/officeDocument/2006/relationships/image" Target="media/0be27113448e7f8308731b46d6d2d8b812853da0.png"/><Relationship Id="rId11" Type="http://schemas.openxmlformats.org/officeDocument/2006/relationships/image" Target="media/c68a801308fe9b0fb9ad837bf2bd829a044984b8.png"/><Relationship Id="rId12" Type="http://schemas.openxmlformats.org/officeDocument/2006/relationships/image" Target="media/b6f0990c5357d6bf198b574f3fc1ce38d012d23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2026-10-15T14:46:06.056Z</dcterms:created>
  <dcterms:modified xsi:type="dcterms:W3CDTF">2026-10-15T14:46:06.061Z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