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cript-tp4-demoday-grupo-02-25062026"/>
    <w:p>
      <w:pPr>
        <w:pStyle w:val="Heading1"/>
      </w:pPr>
      <w:r>
        <w:t xml:space="preserve">Script — TP4 DemoDay · Grupo 02 · 25/06/2026</w:t>
      </w:r>
    </w:p>
    <w:p>
      <w:pPr>
        <w:pStyle w:val="BlockText"/>
      </w:pPr>
      <w:r>
        <w:rPr>
          <w:b/>
          <w:bCs/>
        </w:rPr>
        <w:t xml:space="preserve">Duração: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14 slides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[clica]</w:t>
      </w:r>
      <w:r>
        <w:t xml:space="preserve"> </w:t>
      </w:r>
      <w:r>
        <w:t xml:space="preserve">= avança slide ·</w:t>
      </w:r>
      <w:r>
        <w:t xml:space="preserve"> </w:t>
      </w:r>
      <w:r>
        <w:rPr>
          <w:b/>
          <w:bCs/>
        </w:rPr>
        <w:t xml:space="preserve">negrito</w:t>
      </w:r>
      <w:r>
        <w:t xml:space="preserve"> </w:t>
      </w:r>
      <w:r>
        <w:t xml:space="preserve">= ênfase verbal</w:t>
      </w:r>
    </w:p>
    <w:p>
      <w:r>
        <w:pict>
          <v:rect style="width:0;height:1.5pt" o:hralign="center" o:hrstd="t" o:hr="t"/>
        </w:pict>
      </w:r>
    </w:p>
    <w:bookmarkStart w:id="9" w:name="slide-1-capa-015"/>
    <w:p>
      <w:pPr>
        <w:pStyle w:val="Heading2"/>
      </w:pPr>
      <w:r>
        <w:t xml:space="preserve">Slide 1 — Capa · ⏱ 0:15</w:t>
      </w:r>
    </w:p>
    <w:p>
      <w:pPr>
        <w:pStyle w:val="BlockText"/>
      </w:pPr>
      <w:r>
        <w:t xml:space="preserve">Boa tarde. Somos o Grupo 2, e nossa pergunta é simples: quando um clube faz uma grande venda e</w:t>
      </w:r>
      <w:r>
        <w:t xml:space="preserve"> </w:t>
      </w:r>
      <w:r>
        <w:t xml:space="preserve">vai ao mercado comprar, ele paga mais caro do que deveria? Chamamos isso de</w:t>
      </w:r>
      <w:r>
        <w:t xml:space="preserve"> </w:t>
      </w:r>
      <w:r>
        <w:rPr>
          <w:b/>
          <w:bCs/>
        </w:rPr>
        <w:t xml:space="preserve">“prêmio do</w:t>
      </w:r>
      <w:r>
        <w:rPr>
          <w:b/>
          <w:bCs/>
        </w:rPr>
        <w:t xml:space="preserve"> </w:t>
      </w:r>
      <w:r>
        <w:rPr>
          <w:b/>
          <w:bCs/>
        </w:rPr>
        <w:t xml:space="preserve">vendedor”</w:t>
      </w:r>
      <w:r>
        <w:t xml:space="preserve">. A resposta que encontramos tem três camadas — e a última vai surpreender.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9"/>
    <w:bookmarkStart w:id="10" w:name="slide-2-contexto-problema-115"/>
    <w:p>
      <w:pPr>
        <w:pStyle w:val="Heading2"/>
      </w:pPr>
      <w:r>
        <w:t xml:space="preserve">Slide 2 — Contexto &amp; Problema · ⏱ 1:15</w:t>
      </w:r>
    </w:p>
    <w:p>
      <w:pPr>
        <w:pStyle w:val="BlockText"/>
      </w:pPr>
      <w:r>
        <w:t xml:space="preserve">O mercado de transferências funciona como uma</w:t>
      </w:r>
      <w:r>
        <w:t xml:space="preserve"> </w:t>
      </w:r>
      <w:r>
        <w:rPr>
          <w:b/>
          <w:bCs/>
        </w:rPr>
        <w:t xml:space="preserve">rede de dependências</w:t>
      </w:r>
      <w:r>
        <w:t xml:space="preserve">. Quando o Porto vende</w:t>
      </w:r>
      <w:r>
        <w:t xml:space="preserve"> </w:t>
      </w:r>
      <w:r>
        <w:t xml:space="preserve">Fábio Vieira por €35M, dois sinais chegam ao mercado ao mesmo tempo: o clube tem</w:t>
      </w:r>
      <w:r>
        <w:t xml:space="preserve"> </w:t>
      </w:r>
      <w:r>
        <w:rPr>
          <w:b/>
          <w:bCs/>
        </w:rPr>
        <w:t xml:space="preserve">caixa</w:t>
      </w:r>
      <w:r>
        <w:t xml:space="preserve"> </w:t>
      </w:r>
      <w:r>
        <w:t xml:space="preserve">e</w:t>
      </w:r>
      <w:r>
        <w:t xml:space="preserve"> </w:t>
      </w:r>
      <w:r>
        <w:t xml:space="preserve">precisa</w:t>
      </w:r>
      <w:r>
        <w:t xml:space="preserve"> </w:t>
      </w:r>
      <w:r>
        <w:rPr>
          <w:b/>
          <w:bCs/>
        </w:rPr>
        <w:t xml:space="preserve">repor o jogador</w:t>
      </w:r>
      <w:r>
        <w:t xml:space="preserve">. Os vendedores sabem disso.</w:t>
      </w:r>
    </w:p>
    <w:p>
      <w:pPr>
        <w:pStyle w:val="BlockText"/>
      </w:pPr>
      <w:r>
        <w:t xml:space="preserve">Nossa intuição: esse clube perde poder de barganha e passa a pagar</w:t>
      </w:r>
      <w:r>
        <w:t xml:space="preserve"> </w:t>
      </w:r>
      <w:r>
        <w:rPr>
          <w:b/>
          <w:bCs/>
        </w:rPr>
        <w:t xml:space="preserve">acima do valor justo</w:t>
      </w:r>
      <w:r>
        <w:t xml:space="preserve"> </w:t>
      </w:r>
      <w:r>
        <w:t xml:space="preserve">nas</w:t>
      </w:r>
      <w:r>
        <w:t xml:space="preserve"> </w:t>
      </w:r>
      <w:r>
        <w:t xml:space="preserve">compras seguintes. É o</w:t>
      </w:r>
      <w:r>
        <w:t xml:space="preserve"> </w:t>
      </w:r>
      <w:r>
        <w:rPr>
          <w:b/>
          <w:bCs/>
        </w:rPr>
        <w:t xml:space="preserve">“efeito dominó”</w:t>
      </w:r>
      <w:r>
        <w:t xml:space="preserve"> </w:t>
      </w:r>
      <w:r>
        <w:t xml:space="preserve">— uma venda aciona uma cadeia de sobrepreços.</w:t>
      </w:r>
    </w:p>
    <w:p>
      <w:pPr>
        <w:pStyle w:val="BlockText"/>
      </w:pPr>
      <w:r>
        <w:t xml:space="preserve">Mas há uma armadilha óbvia:</w:t>
      </w:r>
      <w:r>
        <w:t xml:space="preserve"> </w:t>
      </w:r>
      <w:r>
        <w:rPr>
          <w:b/>
          <w:bCs/>
        </w:rPr>
        <w:t xml:space="preserve">clubes ricos vendem caro e compram caro ao mesmo tempo</w:t>
      </w:r>
      <w:r>
        <w:t xml:space="preserve">. Como</w:t>
      </w:r>
      <w:r>
        <w:t xml:space="preserve"> </w:t>
      </w:r>
      <w:r>
        <w:t xml:space="preserve">saber se é o prêmio do vendedor — ou só o porte do clube?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10"/>
    <w:bookmarkStart w:id="11" w:name="slide-3-pergunta-hipótese-045"/>
    <w:p>
      <w:pPr>
        <w:pStyle w:val="Heading2"/>
      </w:pPr>
      <w:r>
        <w:t xml:space="preserve">Slide 3 — Pergunta &amp; Hipótese · ⏱ 0:45</w:t>
      </w:r>
    </w:p>
    <w:p>
      <w:pPr>
        <w:pStyle w:val="BlockText"/>
      </w:pPr>
      <w:r>
        <w:t xml:space="preserve">A pergunta operacional é:</w:t>
      </w:r>
      <w:r>
        <w:t xml:space="preserve"> </w:t>
      </w:r>
      <w:r>
        <w:rPr>
          <w:b/>
          <w:bCs/>
        </w:rPr>
        <w:t xml:space="preserve">a liquidez recente do comprador tem efeito causal sobre o sobrepreço</w:t>
      </w:r>
      <w:r>
        <w:rPr>
          <w:b/>
          <w:bCs/>
        </w:rPr>
        <w:t xml:space="preserve"> </w:t>
      </w:r>
      <w:r>
        <w:rPr>
          <w:b/>
          <w:bCs/>
        </w:rPr>
        <w:t xml:space="preserve">que ele paga</w:t>
      </w:r>
      <w:r>
        <w:t xml:space="preserve">, depois de neutralizar confundidores estruturais?</w:t>
      </w:r>
    </w:p>
    <w:p>
      <w:pPr>
        <w:pStyle w:val="BlockText"/>
      </w:pPr>
      <w:r>
        <w:t xml:space="preserve">Hipótese: sim — e o mecanismo é de</w:t>
      </w:r>
      <w:r>
        <w:t xml:space="preserve"> </w:t>
      </w:r>
      <w:r>
        <w:rPr>
          <w:b/>
          <w:bCs/>
        </w:rPr>
        <w:t xml:space="preserve">sinalização</w:t>
      </w:r>
      <w:r>
        <w:t xml:space="preserve">, não de volume de dinheiro. O clube não paga</w:t>
      </w:r>
      <w:r>
        <w:t xml:space="preserve"> </w:t>
      </w:r>
      <w:r>
        <w:t xml:space="preserve">mais porque tem mais dinheiro; paga mais porque o mercado sabe que ele precisa comprar.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11"/>
    <w:bookmarkStart w:id="12" w:name="slide-4-a-armadilha-causal-115"/>
    <w:p>
      <w:pPr>
        <w:pStyle w:val="Heading2"/>
      </w:pPr>
      <w:r>
        <w:t xml:space="preserve">Slide 4 — A Armadilha Causal · ⏱ 1:15</w:t>
      </w:r>
    </w:p>
    <w:p>
      <w:pPr>
        <w:pStyle w:val="BlockText"/>
      </w:pPr>
      <w:r>
        <w:t xml:space="preserve">Mapeamos</w:t>
      </w:r>
      <w:r>
        <w:t xml:space="preserve"> </w:t>
      </w:r>
      <w:r>
        <w:rPr>
          <w:b/>
          <w:bCs/>
        </w:rPr>
        <w:t xml:space="preserve">6 confundidores</w:t>
      </w:r>
      <w:r>
        <w:t xml:space="preserve"> </w:t>
      </w:r>
      <w:r>
        <w:t xml:space="preserve">que poderiam criar correlação espúria. Os três mais críticos:</w:t>
      </w:r>
    </w:p>
    <w:p>
      <w:pPr>
        <w:pStyle w:val="BlockText"/>
      </w:pPr>
      <w:r>
        <w:rPr>
          <w:b/>
          <w:bCs/>
        </w:rPr>
        <w:t xml:space="preserve">C1 — Clube rico:</w:t>
      </w:r>
      <w:r>
        <w:t xml:space="preserve"> </w:t>
      </w:r>
      <w:r>
        <w:t xml:space="preserve">clubes grandes vendem caro E compram caro. Sem controlar isso, qualquer</w:t>
      </w:r>
      <w:r>
        <w:t xml:space="preserve"> </w:t>
      </w:r>
      <w:r>
        <w:t xml:space="preserve">correlação é suspeita.</w:t>
      </w:r>
    </w:p>
    <w:p>
      <w:pPr>
        <w:pStyle w:val="BlockText"/>
      </w:pPr>
      <w:r>
        <w:rPr>
          <w:b/>
          <w:bCs/>
        </w:rPr>
        <w:t xml:space="preserve">C4/C5 — Sazonalidade e inflação:</w:t>
      </w:r>
      <w:r>
        <w:t xml:space="preserve"> </w:t>
      </w:r>
      <w:r>
        <w:t xml:space="preserve">em anos de boom de mercado todo mundo paga mais. Precisamos</w:t>
      </w:r>
      <w:r>
        <w:t xml:space="preserve"> </w:t>
      </w:r>
      <w:r>
        <w:t xml:space="preserve">separar o efeito do clube do efeito da época.</w:t>
      </w:r>
    </w:p>
    <w:p>
      <w:pPr>
        <w:pStyle w:val="BlockText"/>
      </w:pPr>
      <w:r>
        <w:rPr>
          <w:b/>
          <w:bCs/>
        </w:rPr>
        <w:t xml:space="preserve">C2 — Causalidade reversa:</w:t>
      </w:r>
      <w:r>
        <w:t xml:space="preserve"> </w:t>
      </w:r>
      <w:r>
        <w:t xml:space="preserve">e se o clube já tinha planejado comprar caro, e vendeu para</w:t>
      </w:r>
      <w:r>
        <w:t xml:space="preserve"> </w:t>
      </w:r>
      <w:r>
        <w:t xml:space="preserve">financiar? Nesse caso a compra causa a venda, não o contrário. Testamos isso explicitamente.</w:t>
      </w:r>
    </w:p>
    <w:p>
      <w:pPr>
        <w:pStyle w:val="BlockText"/>
      </w:pPr>
      <w:r>
        <w:t xml:space="preserve">Sem tratar esses confundidores, qualquer resultado seria correlação disfarçada de causalidade.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12"/>
    <w:bookmarkStart w:id="13" w:name="slide-5-metodologia-visão-geral-115"/>
    <w:p>
      <w:pPr>
        <w:pStyle w:val="Heading2"/>
      </w:pPr>
      <w:r>
        <w:t xml:space="preserve">Slide 5 — Metodologia: Visão Geral · ⏱ 1:15</w:t>
      </w:r>
    </w:p>
    <w:p>
      <w:pPr>
        <w:pStyle w:val="BlockText"/>
      </w:pPr>
      <w:r>
        <w:t xml:space="preserve">Nossa estratégia tem duas etapas encadeadas.</w:t>
      </w:r>
    </w:p>
    <w:p>
      <w:pPr>
        <w:pStyle w:val="BlockText"/>
      </w:pPr>
      <w:r>
        <w:rPr>
          <w:b/>
          <w:bCs/>
        </w:rPr>
        <w:t xml:space="preserve">Etapa 1 — Hedônico:</w:t>
      </w:r>
      <w:r>
        <w:t xml:space="preserve"> </w:t>
      </w:r>
      <w:r>
        <w:t xml:space="preserve">treino um modelo de ML que prevê o</w:t>
      </w:r>
      <w:r>
        <w:t xml:space="preserve"> </w:t>
      </w:r>
      <w:r>
        <w:rPr>
          <w:i/>
          <w:iCs/>
        </w:rPr>
        <w:t xml:space="preserve">preço justo</w:t>
      </w:r>
      <w:r>
        <w:t xml:space="preserve"> </w:t>
      </w:r>
      <w:r>
        <w:t xml:space="preserve">de cada jogador com</w:t>
      </w:r>
      <w:r>
        <w:t xml:space="preserve"> </w:t>
      </w:r>
      <w:r>
        <w:t xml:space="preserve">base em atributos do atleta — idade, posição, valor de mercado — e controles de mercado. O</w:t>
      </w:r>
      <w:r>
        <w:t xml:space="preserve"> </w:t>
      </w:r>
      <w:r>
        <w:rPr>
          <w:b/>
          <w:bCs/>
        </w:rPr>
        <w:t xml:space="preserve">resíduo</w:t>
      </w:r>
      <w:r>
        <w:t xml:space="preserve"> </w:t>
      </w:r>
      <w:r>
        <w:t xml:space="preserve">— o que o modelo não consegue explicar — é o sobrepreço. É nossa variável Y.</w:t>
      </w:r>
    </w:p>
    <w:p>
      <w:pPr>
        <w:pStyle w:val="BlockText"/>
      </w:pPr>
      <w:r>
        <w:rPr>
          <w:b/>
          <w:bCs/>
        </w:rPr>
        <w:t xml:space="preserve">Etapa 2 — Double ML:</w:t>
      </w:r>
      <w:r>
        <w:t xml:space="preserve"> </w:t>
      </w:r>
      <w:r>
        <w:t xml:space="preserve">pego esse resíduo e pergunto: a liquidez do clube comprador causa</w:t>
      </w:r>
      <w:r>
        <w:t xml:space="preserve"> </w:t>
      </w:r>
      <w:r>
        <w:t xml:space="preserve">sobrepreço, depois de remover o efeito de todos os confundidores? Uso</w:t>
      </w:r>
      <w:r>
        <w:t xml:space="preserve"> </w:t>
      </w:r>
      <w:r>
        <w:rPr>
          <w:b/>
          <w:bCs/>
        </w:rPr>
        <w:t xml:space="preserve">ortogonalização de</w:t>
      </w:r>
      <w:r>
        <w:rPr>
          <w:b/>
          <w:bCs/>
        </w:rPr>
        <w:t xml:space="preserve"> </w:t>
      </w:r>
      <w:r>
        <w:rPr>
          <w:b/>
          <w:bCs/>
        </w:rPr>
        <w:t xml:space="preserve">Neyman</w:t>
      </w:r>
      <w:r>
        <w:t xml:space="preserve"> </w:t>
      </w:r>
      <w:r>
        <w:t xml:space="preserve">e cross-fitting para eliminar o viés de ML de alta dimensão.</w:t>
      </w:r>
    </w:p>
    <w:p>
      <w:pPr>
        <w:pStyle w:val="BlockText"/>
      </w:pPr>
      <w:r>
        <w:t xml:space="preserve">A separação entre as duas etapas é o que garante que o resíduo não contenha o comportamento</w:t>
      </w:r>
      <w:r>
        <w:t xml:space="preserve"> </w:t>
      </w:r>
      <w:r>
        <w:t xml:space="preserve">financeiro do clube — que fica reservado para os confundidores da Etapa 2.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13"/>
    <w:bookmarkStart w:id="14" w:name="slide-6-etapa-1-modelo-hedônico-115"/>
    <w:p>
      <w:pPr>
        <w:pStyle w:val="Heading2"/>
      </w:pPr>
      <w:r>
        <w:t xml:space="preserve">Slide 6 — Etapa 1: Modelo Hedônico · ⏱ 1:15</w:t>
      </w:r>
    </w:p>
    <w:p>
      <w:pPr>
        <w:pStyle w:val="BlockText"/>
      </w:pPr>
      <w:r>
        <w:t xml:space="preserve">Os dados:</w:t>
      </w:r>
      <w:r>
        <w:t xml:space="preserve"> </w:t>
      </w:r>
      <w:r>
        <w:rPr>
          <w:b/>
          <w:bCs/>
        </w:rPr>
        <w:t xml:space="preserve">44.627 movimentações brutas</w:t>
      </w:r>
      <w:r>
        <w:t xml:space="preserve"> </w:t>
      </w:r>
      <w:r>
        <w:t xml:space="preserve">no Transfermarkt,</w:t>
      </w:r>
      <w:r>
        <w:t xml:space="preserve"> </w:t>
      </w:r>
      <w:r>
        <w:rPr>
          <w:b/>
          <w:bCs/>
        </w:rPr>
        <w:t xml:space="preserve">8 temporadas (2017–2025)</w:t>
      </w:r>
      <w:r>
        <w:t xml:space="preserve">, 7</w:t>
      </w:r>
      <w:r>
        <w:t xml:space="preserve"> </w:t>
      </w:r>
      <w:r>
        <w:t xml:space="preserve">ligas europeias. Após filtros — só compras pagas acima de €250k com valor de mercado válido —</w:t>
      </w:r>
      <w:r>
        <w:t xml:space="preserve"> </w:t>
      </w:r>
      <w:r>
        <w:t xml:space="preserve">ficamos com</w:t>
      </w:r>
      <w:r>
        <w:t xml:space="preserve"> </w:t>
      </w:r>
      <w:r>
        <w:rPr>
          <w:b/>
          <w:bCs/>
        </w:rPr>
        <w:t xml:space="preserve">5.146 transferências</w:t>
      </w:r>
      <w:r>
        <w:t xml:space="preserve">.</w:t>
      </w:r>
    </w:p>
    <w:p>
      <w:pPr>
        <w:pStyle w:val="BlockText"/>
      </w:pPr>
      <w:r>
        <w:t xml:space="preserve">Testamos 4 modelos. O vencedor foi o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R² de 0,76 no holdout de 2025</w:t>
      </w:r>
      <w:r>
        <w:t xml:space="preserve"> </w:t>
      </w:r>
      <w:r>
        <w:t xml:space="preserve">— treinado apenas em 2017–2024, testado no futuro. Isso é 76% da variância do preço explicada</w:t>
      </w:r>
      <w:r>
        <w:t xml:space="preserve"> </w:t>
      </w:r>
      <w:r>
        <w:t xml:space="preserve">só pelos atributos do jogador.</w:t>
      </w:r>
    </w:p>
    <w:p>
      <w:pPr>
        <w:pStyle w:val="BlockText"/>
      </w:pPr>
      <w:r>
        <w:t xml:space="preserve">O SHAP confirma:</w:t>
      </w:r>
      <w:r>
        <w:t xml:space="preserve"> </w:t>
      </w:r>
      <w:r>
        <w:rPr>
          <w:rStyle w:val="VerbatimChar"/>
          <w:b/>
          <w:bCs/>
        </w:rPr>
        <w:t xml:space="preserve">log_mv</w:t>
      </w:r>
      <w:r>
        <w:t xml:space="preserve"> </w:t>
      </w:r>
      <w:r>
        <w:t xml:space="preserve">domina. Depois, idade e posição. Nenhuma feature de comportamento</w:t>
      </w:r>
      <w:r>
        <w:t xml:space="preserve"> </w:t>
      </w:r>
      <w:r>
        <w:t xml:space="preserve">do clube comprador entra aqui — por design.</w:t>
      </w:r>
    </w:p>
    <w:p>
      <w:pPr>
        <w:pStyle w:val="BlockText"/>
      </w:pPr>
      <w:r>
        <w:t xml:space="preserve">Baseline de comparação: usar só o market value como preditor direto dá R² de ~0,65. O ML</w:t>
      </w:r>
      <w:r>
        <w:t xml:space="preserve"> </w:t>
      </w:r>
      <w:r>
        <w:t xml:space="preserve">agrega 11 pontos percentuais.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14"/>
    <w:bookmarkStart w:id="15" w:name="slide-7-etapa-2-double-ml-115"/>
    <w:p>
      <w:pPr>
        <w:pStyle w:val="Heading2"/>
      </w:pPr>
      <w:r>
        <w:t xml:space="preserve">Slide 7 — Etapa 2: Double ML · ⏱ 1:15</w:t>
      </w:r>
    </w:p>
    <w:p>
      <w:pPr>
        <w:pStyle w:val="BlockText"/>
      </w:pPr>
      <w:r>
        <w:t xml:space="preserve">Para a estimação causal, definimos:</w:t>
      </w:r>
    </w:p>
    <w:p>
      <w:pPr>
        <w:pStyle w:val="BlockText"/>
      </w:pPr>
      <w:r>
        <w:rPr>
          <w:b/>
          <w:bCs/>
        </w:rPr>
        <w:t xml:space="preserve">D — Tratamento:</w:t>
      </w:r>
      <w:r>
        <w:t xml:space="preserve"> </w:t>
      </w:r>
      <w:r>
        <w:t xml:space="preserve">log da receita de vendas do clube na temporada. Mede a liquidez recente.</w:t>
      </w:r>
    </w:p>
    <w:p>
      <w:pPr>
        <w:pStyle w:val="BlockText"/>
      </w:pPr>
      <w:r>
        <w:rPr>
          <w:b/>
          <w:bCs/>
        </w:rPr>
        <w:t xml:space="preserve">Y — Resultado:</w:t>
      </w:r>
      <w:r>
        <w:t xml:space="preserve"> </w:t>
      </w:r>
      <w:r>
        <w:t xml:space="preserve">o resíduo hedônico da Etapa 1 — o sobrepreço pago acima do valor justo.</w:t>
      </w:r>
    </w:p>
    <w:p>
      <w:pPr>
        <w:pStyle w:val="BlockText"/>
      </w:pPr>
      <w:r>
        <w:rPr>
          <w:b/>
          <w:bCs/>
        </w:rPr>
        <w:t xml:space="preserve">W — Confundidores (19 variáveis):</w:t>
      </w:r>
      <w:r>
        <w:t xml:space="preserve"> </w:t>
      </w:r>
      <w:r>
        <w:t xml:space="preserve">centralidade na rede (PageRank, graus), tamanho do</w:t>
      </w:r>
      <w:r>
        <w:t xml:space="preserve"> </w:t>
      </w:r>
      <w:r>
        <w:t xml:space="preserve">elenco, 7 dummies de temporada, 6 dummies de liga. Controla C1 (clube rico), C4 (sazonalidade)</w:t>
      </w:r>
      <w:r>
        <w:t xml:space="preserve"> </w:t>
      </w:r>
      <w:r>
        <w:t xml:space="preserve">e C5 (inflação de mercado).</w:t>
      </w:r>
    </w:p>
    <w:p>
      <w:pPr>
        <w:pStyle w:val="BlockText"/>
      </w:pPr>
      <w:r>
        <w:t xml:space="preserve">O DML estima θ pela regressão dos</w:t>
      </w:r>
      <w:r>
        <w:t xml:space="preserve"> </w:t>
      </w:r>
      <w:r>
        <w:rPr>
          <w:b/>
          <w:bCs/>
        </w:rPr>
        <w:t xml:space="preserve">resíduos ortogonalizados</w:t>
      </w:r>
      <w:r>
        <w:t xml:space="preserve">: tiramos de Y e de D o que os</w:t>
      </w:r>
      <w:r>
        <w:t xml:space="preserve"> </w:t>
      </w:r>
      <w:r>
        <w:t xml:space="preserve">confundidores explicam, e estimamos θ na variação que sobra — que, por construção, é exógena.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15"/>
    <w:bookmarkStart w:id="16" w:name="slide-8-resultado-1-a-reviravolta-145"/>
    <w:p>
      <w:pPr>
        <w:pStyle w:val="Heading2"/>
      </w:pPr>
      <w:r>
        <w:t xml:space="preserve">Slide 8 — Resultado 1: A Reviravolta · ⏱ 1:45</w:t>
      </w:r>
    </w:p>
    <w:p>
      <w:pPr>
        <w:pStyle w:val="BlockText"/>
      </w:pPr>
      <w:r>
        <w:t xml:space="preserve">Antes de mostrar o resultado causal, vejamos o que a correlação ingênua diz.</w:t>
      </w:r>
    </w:p>
    <w:p>
      <w:pPr>
        <w:pStyle w:val="BlockText"/>
      </w:pPr>
      <w:r>
        <w:rPr>
          <w:b/>
          <w:bCs/>
        </w:rPr>
        <w:t xml:space="preserve">OLS sem controles:</w:t>
      </w:r>
      <w:r>
        <w:t xml:space="preserve"> </w:t>
      </w:r>
      <w:r>
        <w:t xml:space="preserve">θ =</w:t>
      </w:r>
      <w:r>
        <w:t xml:space="preserve"> </w:t>
      </w:r>
      <w:r>
        <w:rPr>
          <w:b/>
          <w:bCs/>
        </w:rPr>
        <w:t xml:space="preserve">0,0142*</w:t>
      </w:r>
      <w:r>
        <w:t xml:space="preserve"> </w:t>
      </w:r>
      <w:r>
        <w:t xml:space="preserve">— IC [0,009; 0,019]. Significativo, positivo.</w:t>
      </w:r>
      <w:r>
        <w:t xml:space="preserve"> </w:t>
      </w:r>
      <w:r>
        <w:t xml:space="preserve">“Prova”</w:t>
      </w:r>
      <w:r>
        <w:t xml:space="preserve"> </w:t>
      </w:r>
      <w:r>
        <w:t xml:space="preserve">que existe prêmio do vendedor.</w:t>
      </w:r>
    </w:p>
    <w:p>
      <w:pPr>
        <w:pStyle w:val="BlockText"/>
      </w:pPr>
      <w:r>
        <w:rPr>
          <w:i/>
          <w:iCs/>
        </w:rPr>
        <w:t xml:space="preserve">[pausa]</w:t>
      </w:r>
    </w:p>
    <w:p>
      <w:pPr>
        <w:pStyle w:val="BlockText"/>
      </w:pPr>
      <w:r>
        <w:rPr>
          <w:b/>
          <w:bCs/>
        </w:rPr>
        <w:t xml:space="preserve">Agora o Double ML</w:t>
      </w:r>
      <w:r>
        <w:t xml:space="preserve"> </w:t>
      </w:r>
      <w:r>
        <w:t xml:space="preserve">— com os confundidores controlados de forma não-linear:</w:t>
      </w:r>
      <w:r>
        <w:t xml:space="preserve"> </w:t>
      </w:r>
      <w:r>
        <w:t xml:space="preserve">θ =</w:t>
      </w:r>
      <w:r>
        <w:t xml:space="preserve"> </w:t>
      </w:r>
      <w:r>
        <w:rPr>
          <w:b/>
          <w:bCs/>
        </w:rPr>
        <w:t xml:space="preserve">0,0044</w:t>
      </w:r>
      <w:r>
        <w:t xml:space="preserve"> </w:t>
      </w:r>
      <w:r>
        <w:t xml:space="preserve">— IC [−0,002; 0,010].</w:t>
      </w:r>
      <w:r>
        <w:t xml:space="preserve"> </w:t>
      </w:r>
      <w:r>
        <w:rPr>
          <w:b/>
          <w:bCs/>
        </w:rPr>
        <w:t xml:space="preserve">O IC cruza zero (inclusive com erro-padrão clusterizado).</w:t>
      </w:r>
      <w:r>
        <w:rPr>
          <w:b/>
          <w:bCs/>
        </w:rPr>
        <w:t xml:space="preserve"> </w:t>
      </w:r>
      <w:r>
        <w:rPr>
          <w:b/>
          <w:bCs/>
        </w:rPr>
        <w:t xml:space="preserve">Não significativo.</w:t>
      </w:r>
    </w:p>
    <w:p>
      <w:pPr>
        <w:pStyle w:val="BlockText"/>
      </w:pPr>
      <w:r>
        <w:t xml:space="preserve">E o placebo — embaralhamos o tratamento D aleatoriamente — dá θ = 0,002. Quase do tamanho do</w:t>
      </w:r>
      <w:r>
        <w:t xml:space="preserve"> </w:t>
      </w:r>
      <w:r>
        <w:t xml:space="preserve">efeito real. O modelo não encontra efeito causal médio.</w:t>
      </w:r>
    </w:p>
    <w:p>
      <w:pPr>
        <w:pStyle w:val="BlockText"/>
      </w:pPr>
      <w:r>
        <w:rPr>
          <w:b/>
          <w:bCs/>
        </w:rPr>
        <w:t xml:space="preserve">A correlação mentia.</w:t>
      </w:r>
      <w:r>
        <w:t xml:space="preserve"> </w:t>
      </w:r>
      <w:r>
        <w:t xml:space="preserve">Era, em boa parte, o confundidor</w:t>
      </w:r>
      <w:r>
        <w:t xml:space="preserve"> </w:t>
      </w:r>
      <w:r>
        <w:t xml:space="preserve">“clube rico”</w:t>
      </w:r>
      <w:r>
        <w:t xml:space="preserve"> </w:t>
      </w:r>
      <w:r>
        <w:t xml:space="preserve">em ação. Sem DML,</w:t>
      </w:r>
      <w:r>
        <w:t xml:space="preserve"> </w:t>
      </w:r>
      <w:r>
        <w:t xml:space="preserve">teríamos concluído que o prêmio existe quando, na média de 8 temporadas, ele não existe.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16"/>
    <w:bookmarkStart w:id="17" w:name="Xd622790a4292117dc62d1fa15e8f8e8220f985f"/>
    <w:p>
      <w:pPr>
        <w:pStyle w:val="Heading2"/>
      </w:pPr>
      <w:r>
        <w:t xml:space="preserve">Slide 9 — Resultado 2: Onde o Efeito Vive · ⏱ 1:15</w:t>
      </w:r>
    </w:p>
    <w:p>
      <w:pPr>
        <w:pStyle w:val="BlockText"/>
      </w:pPr>
      <w:r>
        <w:t xml:space="preserve">Mas a média esconde a história. Quando estimamos θ</w:t>
      </w:r>
      <w:r>
        <w:t xml:space="preserve"> </w:t>
      </w:r>
      <w:r>
        <w:rPr>
          <w:b/>
          <w:bCs/>
        </w:rPr>
        <w:t xml:space="preserve">por temporada</w:t>
      </w:r>
      <w:r>
        <w:t xml:space="preserve">, o padrão é claro:</w:t>
      </w:r>
    </w:p>
    <w:p>
      <w:pPr>
        <w:pStyle w:val="BlockText"/>
      </w:pPr>
      <w:r>
        <w:t xml:space="preserve">De 2017 a 2021 e em 2024–2025 —</w:t>
      </w:r>
      <w:r>
        <w:t xml:space="preserve"> </w:t>
      </w:r>
      <w:r>
        <w:rPr>
          <w:b/>
          <w:bCs/>
        </w:rPr>
        <w:t xml:space="preserve">nada</w:t>
      </w:r>
      <w:r>
        <w:t xml:space="preserve">. ICs cruzam zero, efeito indistinguível de zero.</w:t>
      </w:r>
    </w:p>
    <w:p>
      <w:pPr>
        <w:pStyle w:val="BlockText"/>
      </w:pPr>
      <w:r>
        <w:rPr>
          <w:b/>
          <w:bCs/>
        </w:rPr>
        <w:t xml:space="preserve">2022: θ = +0,064*</w:t>
      </w:r>
      <w:r>
        <w:t xml:space="preserve"> </w:t>
      </w:r>
      <w:r>
        <w:t xml:space="preserve">— significativo.</w:t>
      </w:r>
      <w:r>
        <w:t xml:space="preserve"> </w:t>
      </w:r>
      <w:r>
        <w:rPr>
          <w:b/>
          <w:bCs/>
        </w:rPr>
        <w:t xml:space="preserve">2023: θ = +0,047*</w:t>
      </w:r>
      <w:r>
        <w:t xml:space="preserve"> </w:t>
      </w:r>
      <w:r>
        <w:t xml:space="preserve">— significativo.</w:t>
      </w:r>
      <w:r>
        <w:t xml:space="preserve"> </w:t>
      </w:r>
      <w:r>
        <w:t xml:space="preserve">E o mais importante:</w:t>
      </w:r>
      <w:r>
        <w:t xml:space="preserve"> </w:t>
      </w:r>
      <w:r>
        <w:rPr>
          <w:b/>
          <w:bCs/>
        </w:rPr>
        <w:t xml:space="preserve">ambos sobrevivem à correção de Bonferroni e ao FDR</w:t>
      </w:r>
      <w:r>
        <w:t xml:space="preserve"> </w:t>
      </w:r>
      <w:r>
        <w:t xml:space="preserve">para os 8 testes —</w:t>
      </w:r>
      <w:r>
        <w:t xml:space="preserve"> </w:t>
      </w:r>
      <w:r>
        <w:t xml:space="preserve">não são falso-positivo de</w:t>
      </w:r>
      <w:r>
        <w:t xml:space="preserve"> </w:t>
      </w:r>
      <w:r>
        <w:t xml:space="preserve">“testar muita coisa”</w:t>
      </w:r>
      <w:r>
        <w:t xml:space="preserve">.</w:t>
      </w:r>
    </w:p>
    <w:p>
      <w:pPr>
        <w:pStyle w:val="BlockText"/>
      </w:pPr>
      <w:r>
        <w:t xml:space="preserve">Esses são os anos do</w:t>
      </w:r>
      <w:r>
        <w:t xml:space="preserve"> </w:t>
      </w:r>
      <w:r>
        <w:rPr>
          <w:b/>
          <w:bCs/>
        </w:rPr>
        <w:t xml:space="preserve">boom pós-COVID</w:t>
      </w:r>
      <w:r>
        <w:t xml:space="preserve"> </w:t>
      </w:r>
      <w:r>
        <w:t xml:space="preserve">— o mercado de transferências atingiu volumes recordes</w:t>
      </w:r>
      <w:r>
        <w:t xml:space="preserve"> </w:t>
      </w:r>
      <w:r>
        <w:t xml:space="preserve">depois de 2 anos de restrição. Clubes com liquidez enfrentavam escassez de talentos disponíveis</w:t>
      </w:r>
      <w:r>
        <w:t xml:space="preserve"> </w:t>
      </w:r>
      <w:r>
        <w:t xml:space="preserve">e urgência de reposição.</w:t>
      </w:r>
      <w:r>
        <w:t xml:space="preserve"> </w:t>
      </w:r>
      <w:r>
        <w:rPr>
          <w:i/>
          <w:iCs/>
        </w:rPr>
        <w:t xml:space="preserve">Nesse contexto</w:t>
      </w:r>
      <w:r>
        <w:t xml:space="preserve">, o prêmio emerge.</w:t>
      </w:r>
    </w:p>
    <w:p>
      <w:pPr>
        <w:pStyle w:val="BlockText"/>
      </w:pPr>
      <w:r>
        <w:rPr>
          <w:b/>
          <w:bCs/>
        </w:rPr>
        <w:t xml:space="preserve">Este é o achado central:</w:t>
      </w:r>
      <w:r>
        <w:t xml:space="preserve"> </w:t>
      </w:r>
      <w:r>
        <w:t xml:space="preserve">o prêmio do vendedor não é uma lei universal — é um fenômeno</w:t>
      </w:r>
      <w:r>
        <w:t xml:space="preserve"> </w:t>
      </w:r>
      <w:r>
        <w:t xml:space="preserve">condicional ao regime de mercado.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17"/>
    <w:bookmarkStart w:id="18" w:name="slide-10-resultado-3-o-mecanismo-115"/>
    <w:p>
      <w:pPr>
        <w:pStyle w:val="Heading2"/>
      </w:pPr>
      <w:r>
        <w:t xml:space="preserve">Slide 10 — Resultado 3: O Mecanismo · ⏱ 1:15</w:t>
      </w:r>
    </w:p>
    <w:p>
      <w:pPr>
        <w:pStyle w:val="BlockText"/>
      </w:pPr>
      <w:r>
        <w:t xml:space="preserve">Agora a pergunta:</w:t>
      </w:r>
      <w:r>
        <w:t xml:space="preserve"> </w:t>
      </w:r>
      <w:r>
        <w:rPr>
          <w:b/>
          <w:bCs/>
        </w:rPr>
        <w:t xml:space="preserve">qual aspecto da liquidez aciona o prêmio?</w:t>
      </w:r>
    </w:p>
    <w:p>
      <w:pPr>
        <w:pStyle w:val="BlockText"/>
      </w:pPr>
      <w:r>
        <w:t xml:space="preserve">Testamos três definições de tratamento:</w:t>
      </w:r>
    </w:p>
    <w:p>
      <w:pPr>
        <w:pStyle w:val="BlockText"/>
      </w:pPr>
      <w:r>
        <w:rPr>
          <w:b/>
          <w:bCs/>
        </w:rPr>
        <w:t xml:space="preserve">D₁ = log(receita em euros):</w:t>
      </w:r>
      <w:r>
        <w:t xml:space="preserve"> </w:t>
      </w:r>
      <w:r>
        <w:t xml:space="preserve">θ = 0,0044 —</w:t>
      </w:r>
      <w:r>
        <w:t xml:space="preserve"> </w:t>
      </w:r>
      <w:r>
        <w:rPr>
          <w:b/>
          <w:bCs/>
        </w:rPr>
        <w:t xml:space="preserve">não significativo</w:t>
      </w:r>
      <w:r>
        <w:t xml:space="preserve">. Volume de dinheiro em si</w:t>
      </w:r>
      <w:r>
        <w:t xml:space="preserve"> </w:t>
      </w:r>
      <w:r>
        <w:t xml:space="preserve">não prediz sobrepreço.</w:t>
      </w:r>
    </w:p>
    <w:p>
      <w:pPr>
        <w:pStyle w:val="BlockText"/>
      </w:pPr>
      <w:r>
        <w:rPr>
          <w:b/>
          <w:bCs/>
        </w:rPr>
        <w:t xml:space="preserve">D₂ = log(número de vendas):</w:t>
      </w:r>
      <w:r>
        <w:t xml:space="preserve"> </w:t>
      </w:r>
      <w:r>
        <w:t xml:space="preserve">θ =</w:t>
      </w:r>
      <w:r>
        <w:t xml:space="preserve"> </w:t>
      </w:r>
      <w:r>
        <w:rPr>
          <w:b/>
          <w:bCs/>
        </w:rPr>
        <w:t xml:space="preserve">4,9%*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D₃ = venda blockbuster (&gt;€30M):</w:t>
      </w:r>
      <w:r>
        <w:t xml:space="preserve"> </w:t>
      </w:r>
      <w:r>
        <w:t xml:space="preserve">θ =</w:t>
      </w:r>
      <w:r>
        <w:t xml:space="preserve"> </w:t>
      </w:r>
      <w:r>
        <w:rPr>
          <w:b/>
          <w:bCs/>
        </w:rPr>
        <w:t xml:space="preserve">7,5%*</w:t>
      </w:r>
      <w:r>
        <w:t xml:space="preserve"> </w:t>
      </w:r>
      <w:r>
        <w:t xml:space="preserve">— ambos significativos na especificação bruta. Isso</w:t>
      </w:r>
      <w:r>
        <w:t xml:space="preserve"> </w:t>
      </w:r>
      <w:r>
        <w:rPr>
          <w:i/>
          <w:iCs/>
        </w:rPr>
        <w:t xml:space="preserve">sugeria</w:t>
      </w:r>
      <w:r>
        <w:t xml:space="preserve"> </w:t>
      </w:r>
      <w:r>
        <w:t xml:space="preserve">que o que importa é</w:t>
      </w:r>
      <w:r>
        <w:t xml:space="preserve"> </w:t>
      </w:r>
      <w:r>
        <w:rPr>
          <w:b/>
          <w:bCs/>
        </w:rPr>
        <w:t xml:space="preserve">sinalizar</w:t>
      </w:r>
      <w:r>
        <w:rPr>
          <w:b/>
          <w:bCs/>
        </w:rPr>
        <w:t xml:space="preserve"> </w:t>
      </w:r>
      <w:r>
        <w:rPr>
          <w:b/>
          <w:bCs/>
        </w:rPr>
        <w:t xml:space="preserve">necessidade</w:t>
      </w:r>
      <w:r>
        <w:t xml:space="preserve">, não o volume.</w:t>
      </w:r>
    </w:p>
    <w:p>
      <w:pPr>
        <w:pStyle w:val="BlockText"/>
      </w:pPr>
      <w:r>
        <w:rPr>
          <w:b/>
          <w:bCs/>
        </w:rPr>
        <w:t xml:space="preserve">MAS — e aqui está a honestidade do trabalho:</w:t>
      </w:r>
      <w:r>
        <w:t xml:space="preserve"> </w:t>
      </w:r>
      <w:r>
        <w:t xml:space="preserve">quando controlamos por</w:t>
      </w:r>
      <w:r>
        <w:t xml:space="preserve"> </w:t>
      </w:r>
      <w:r>
        <w:t xml:space="preserve">“clube de janela</w:t>
      </w:r>
      <w:r>
        <w:t xml:space="preserve"> </w:t>
      </w:r>
      <w:r>
        <w:t xml:space="preserve">movimentada”</w:t>
      </w:r>
      <w:r>
        <w:t xml:space="preserve"> </w:t>
      </w:r>
      <w:r>
        <w:t xml:space="preserve">(nº de compras + gasto total),</w:t>
      </w:r>
      <w:r>
        <w:t xml:space="preserve"> </w:t>
      </w:r>
      <w:r>
        <w:rPr>
          <w:b/>
          <w:bCs/>
        </w:rPr>
        <w:t xml:space="preserve">D₂ e D₃ perdem toda a significância</w:t>
      </w:r>
      <w:r>
        <w:t xml:space="preserve"> </w:t>
      </w:r>
      <w:r>
        <w:t xml:space="preserve">(p=0,40 e</w:t>
      </w:r>
      <w:r>
        <w:t xml:space="preserve"> </w:t>
      </w:r>
      <w:r>
        <w:t xml:space="preserve">p=0,86). Ou seja, esse sinal era em boa parte</w:t>
      </w:r>
      <w:r>
        <w:t xml:space="preserve"> </w:t>
      </w:r>
      <w:r>
        <w:t xml:space="preserve">“clube ativo compra e vende muito”</w:t>
      </w:r>
      <w:r>
        <w:t xml:space="preserve">, não um canal</w:t>
      </w:r>
      <w:r>
        <w:t xml:space="preserve"> </w:t>
      </w:r>
      <w:r>
        <w:t xml:space="preserve">causal limpo.</w:t>
      </w:r>
    </w:p>
    <w:p>
      <w:pPr>
        <w:pStyle w:val="BlockText"/>
      </w:pPr>
      <w:r>
        <w:rPr>
          <w:b/>
          <w:bCs/>
        </w:rPr>
        <w:t xml:space="preserve">Conclusão de mecanismo:</w:t>
      </w:r>
      <w:r>
        <w:t xml:space="preserve"> </w:t>
      </w:r>
      <w:r>
        <w:t xml:space="preserve">o mecanismo de sinalização é uma</w:t>
      </w:r>
      <w:r>
        <w:t xml:space="preserve"> </w:t>
      </w:r>
      <w:r>
        <w:rPr>
          <w:b/>
          <w:bCs/>
        </w:rPr>
        <w:t xml:space="preserve">hipótese exploratória, não um</w:t>
      </w:r>
      <w:r>
        <w:rPr>
          <w:b/>
          <w:bCs/>
        </w:rPr>
        <w:t xml:space="preserve"> </w:t>
      </w:r>
      <w:r>
        <w:rPr>
          <w:b/>
          <w:bCs/>
        </w:rPr>
        <w:t xml:space="preserve">achado confirmado</w:t>
      </w:r>
      <w:r>
        <w:t xml:space="preserve">. Os resultados sólidos são o Achado 1 (a correlação mente) e o efeito sazonal</w:t>
      </w:r>
      <w:r>
        <w:t xml:space="preserve"> </w:t>
      </w:r>
      <w:r>
        <w:t xml:space="preserve">de 2022–2023.</w:t>
      </w:r>
      <w:r>
        <w:t xml:space="preserve"> </w:t>
      </w:r>
      <w:r>
        <w:rPr>
          <w:i/>
          <w:iCs/>
        </w:rPr>
        <w:t xml:space="preserve">[Se a banca perguntar do mecanismo, esta é a resposta honesta e que demonstra rigor.]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18"/>
    <w:bookmarkStart w:id="19" w:name="slide-11-resultado-4-robustez-045"/>
    <w:p>
      <w:pPr>
        <w:pStyle w:val="Heading2"/>
      </w:pPr>
      <w:r>
        <w:t xml:space="preserve">Slide 11 — Resultado 4: Robustez · ⏱ 0:45</w:t>
      </w:r>
    </w:p>
    <w:p>
      <w:pPr>
        <w:pStyle w:val="BlockText"/>
      </w:pPr>
      <w:r>
        <w:t xml:space="preserve">Três testes validam a direção causal:</w:t>
      </w:r>
    </w:p>
    <w:p>
      <w:pPr>
        <w:pStyle w:val="BlockText"/>
      </w:pPr>
      <w:r>
        <w:rPr>
          <w:b/>
          <w:bCs/>
        </w:rPr>
        <w:t xml:space="preserve">Placebos:</w:t>
      </w:r>
      <w:r>
        <w:t xml:space="preserve"> </w:t>
      </w:r>
      <w:r>
        <w:t xml:space="preserve">θ ≈ 0 com D embaralhado e com ruído gaussiano — o modelo não inventa efeito.</w:t>
      </w:r>
    </w:p>
    <w:p>
      <w:pPr>
        <w:pStyle w:val="BlockText"/>
      </w:pPr>
      <w:r>
        <w:rPr>
          <w:b/>
          <w:bCs/>
        </w:rPr>
        <w:t xml:space="preserve">Tratamento defasado (C2):</w:t>
      </w:r>
      <w:r>
        <w:t xml:space="preserve"> </w:t>
      </w:r>
      <w:r>
        <w:t xml:space="preserve">usando a receita de vendas do</w:t>
      </w:r>
      <w:r>
        <w:t xml:space="preserve"> </w:t>
      </w:r>
      <w:r>
        <w:rPr>
          <w:b/>
          <w:bCs/>
        </w:rPr>
        <w:t xml:space="preserve">ano anterior</w:t>
      </w:r>
      <w:r>
        <w:t xml:space="preserve"> </w:t>
      </w:r>
      <w:r>
        <w:t xml:space="preserve">— predeterminada,</w:t>
      </w:r>
      <w:r>
        <w:t xml:space="preserve"> </w:t>
      </w:r>
      <w:r>
        <w:t xml:space="preserve">não pode ser causada pela compra atual — θ =</w:t>
      </w:r>
      <w:r>
        <w:t xml:space="preserve"> </w:t>
      </w:r>
      <w:r>
        <w:rPr>
          <w:b/>
          <w:bCs/>
        </w:rPr>
        <w:t xml:space="preserve">0,38%*</w:t>
      </w:r>
      <w:r>
        <w:t xml:space="preserve">. O efeito persiste. Causalidade</w:t>
      </w:r>
      <w:r>
        <w:t xml:space="preserve"> </w:t>
      </w:r>
      <w:r>
        <w:t xml:space="preserve">reversa enfraquecida.</w:t>
      </w:r>
    </w:p>
    <w:p>
      <w:pPr>
        <w:pStyle w:val="BlockText"/>
      </w:pPr>
      <w:r>
        <w:rPr>
          <w:b/>
          <w:bCs/>
        </w:rPr>
        <w:t xml:space="preserve">Subgrupos por liga:</w:t>
      </w:r>
      <w:r>
        <w:t xml:space="preserve"> </w:t>
      </w:r>
      <w:r>
        <w:t xml:space="preserve">ligas menores têm θ maior que top-4 — direção consistente com a teoria,</w:t>
      </w:r>
      <w:r>
        <w:t xml:space="preserve"> </w:t>
      </w:r>
      <w:r>
        <w:t xml:space="preserve">embora sem significância individual por conta do tamanho de amostra menor.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19"/>
    <w:bookmarkStart w:id="20" w:name="slide-12-conclusões-implicações-115"/>
    <w:p>
      <w:pPr>
        <w:pStyle w:val="Heading2"/>
      </w:pPr>
      <w:r>
        <w:t xml:space="preserve">Slide 12 — Conclusões &amp; Implicações · ⏱ 1:15</w:t>
      </w:r>
    </w:p>
    <w:p>
      <w:pPr>
        <w:pStyle w:val="BlockText"/>
      </w:pPr>
      <w:r>
        <w:t xml:space="preserve">O prêmio do vendedor existe — mas com duas condições:</w:t>
      </w:r>
      <w:r>
        <w:t xml:space="preserve"> </w:t>
      </w:r>
      <w:r>
        <w:rPr>
          <w:b/>
          <w:bCs/>
        </w:rPr>
        <w:t xml:space="preserve">quando o mercado está aquecido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quando o clube sinaliza necessidade de comprar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Implicações práticas: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Timing de compra:</w:t>
      </w:r>
      <w:r>
        <w:t xml:space="preserve"> </w:t>
      </w:r>
      <w:r>
        <w:t xml:space="preserve">em mercados aquecidos, comprar imediatamente após uma grande venda é</w:t>
      </w:r>
      <w:r>
        <w:t xml:space="preserve"> </w:t>
      </w:r>
      <w:r>
        <w:t xml:space="preserve">caro. Clubes que podem esperar têm vantagem estrutural.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Inteligência de mercado: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IVB</w:t>
      </w:r>
      <w:r>
        <w:t xml:space="preserve"> </w:t>
      </w:r>
      <w:r>
        <w:t xml:space="preserve">— Índice de Vulnerabilidade de Barganha — aponta os</w:t>
      </w:r>
      <w:r>
        <w:t xml:space="preserve"> </w:t>
      </w:r>
      <w:r>
        <w:t xml:space="preserve">clubes que mais sofrem o prêmio.</w:t>
      </w:r>
      <w:r>
        <w:t xml:space="preserve"> </w:t>
      </w:r>
      <w:r>
        <w:rPr>
          <w:i/>
          <w:iCs/>
        </w:rPr>
        <w:t xml:space="preserve">Ilustrativo nessa versão; base para ferramenta de scouting</w:t>
      </w:r>
      <w:r>
        <w:rPr>
          <w:i/>
          <w:iCs/>
        </w:rPr>
        <w:t xml:space="preserve"> </w:t>
      </w:r>
      <w:r>
        <w:rPr>
          <w:i/>
          <w:iCs/>
        </w:rPr>
        <w:t xml:space="preserve">financeiro.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Alerta metodológico:</w:t>
      </w:r>
      <w:r>
        <w:t xml:space="preserve"> </w:t>
      </w:r>
      <w:r>
        <w:t xml:space="preserve">OLS ingênuo teria levado à conclusão errada. Em mercados de</w:t>
      </w:r>
      <w:r>
        <w:t xml:space="preserve"> </w:t>
      </w:r>
      <w:r>
        <w:t xml:space="preserve">transferência, correlação não é causalidade.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20"/>
    <w:bookmarkStart w:id="21" w:name="slide-13-limitações-trabalho-futuro-030"/>
    <w:p>
      <w:pPr>
        <w:pStyle w:val="Heading2"/>
      </w:pPr>
      <w:r>
        <w:t xml:space="preserve">Slide 13 — Limitações &amp; Trabalho Futuro · ⏱ 0:30</w:t>
      </w:r>
    </w:p>
    <w:p>
      <w:pPr>
        <w:pStyle w:val="BlockText"/>
      </w:pPr>
      <w:r>
        <w:t xml:space="preserve">Reconhecemos três limitações principais:</w:t>
      </w:r>
    </w:p>
    <w:p>
      <w:pPr>
        <w:pStyle w:val="BlockText"/>
      </w:pPr>
      <w:r>
        <w:rPr>
          <w:b/>
          <w:bCs/>
        </w:rPr>
        <w:t xml:space="preserve">Granularidade sazonal:</w:t>
      </w:r>
      <w:r>
        <w:t xml:space="preserve"> </w:t>
      </w:r>
      <w:r>
        <w:t xml:space="preserve">o tratamento é por temporada, não por dia. O efeito real da janela</w:t>
      </w:r>
      <w:r>
        <w:t xml:space="preserve"> </w:t>
      </w:r>
      <w:r>
        <w:t xml:space="preserve">de 30 dias está diluído — nossa estimativa é conservadora.</w:t>
      </w:r>
    </w:p>
    <w:p>
      <w:pPr>
        <w:pStyle w:val="BlockText"/>
      </w:pPr>
      <w:r>
        <w:rPr>
          <w:b/>
          <w:bCs/>
        </w:rPr>
        <w:t xml:space="preserve">Sem performance individual:</w:t>
      </w:r>
      <w:r>
        <w:t xml:space="preserve"> </w:t>
      </w:r>
      <w:r>
        <w:t xml:space="preserve">não integramos gols, xG, assistências (FBref). O resíduo pode</w:t>
      </w:r>
      <w:r>
        <w:t xml:space="preserve"> </w:t>
      </w:r>
      <w:r>
        <w:t xml:space="preserve">capturar parte do valor atlético não observado.</w:t>
      </w:r>
    </w:p>
    <w:p>
      <w:pPr>
        <w:pStyle w:val="BlockText"/>
      </w:pPr>
      <w:r>
        <w:rPr>
          <w:b/>
          <w:bCs/>
        </w:rPr>
        <w:t xml:space="preserve">IVB via R-learner:</w:t>
      </w:r>
      <w:r>
        <w:t xml:space="preserve"> </w:t>
      </w:r>
      <w:r>
        <w:t xml:space="preserve">o ranking de clubes é ilustrativo; CausalForestDML (com econml)</w:t>
      </w:r>
      <w:r>
        <w:t xml:space="preserve"> </w:t>
      </w:r>
      <w:r>
        <w:t xml:space="preserve">daria resultado mais robusto.</w:t>
      </w:r>
    </w:p>
    <w:p>
      <w:pPr>
        <w:pStyle w:val="BlockText"/>
      </w:pPr>
      <w:r>
        <w:t xml:space="preserve">PSM, curva de decaimento temporal e análise do lado vendedor ficam como trabalho futuro.</w:t>
      </w:r>
    </w:p>
    <w:p>
      <w:pPr>
        <w:pStyle w:val="FirstParagraph"/>
      </w:pPr>
      <w:r>
        <w:rPr>
          <w:rStyle w:val="VerbatimChar"/>
        </w:rPr>
        <w:t xml:space="preserve">[clica]</w:t>
      </w:r>
    </w:p>
    <w:p>
      <w:r>
        <w:pict>
          <v:rect style="width:0;height:1.5pt" o:hralign="center" o:hrstd="t" o:hr="t"/>
        </w:pict>
      </w:r>
    </w:p>
    <w:bookmarkEnd w:id="21"/>
    <w:bookmarkStart w:id="22" w:name="slide-14-encerramento-020"/>
    <w:p>
      <w:pPr>
        <w:pStyle w:val="Heading2"/>
      </w:pPr>
      <w:r>
        <w:t xml:space="preserve">Slide 14 — Encerramento · ⏱ 0:20</w:t>
      </w:r>
    </w:p>
    <w:p>
      <w:pPr>
        <w:pStyle w:val="BlockText"/>
      </w:pPr>
      <w:r>
        <w:rPr>
          <w:i/>
          <w:iCs/>
        </w:rPr>
        <w:t xml:space="preserve">“O prêmio do vendedor não é uma lei do mercado — ele emerge nas janelas de mercado aquecido,</w:t>
      </w:r>
      <w:r>
        <w:rPr>
          <w:i/>
          <w:iCs/>
        </w:rPr>
        <w:t xml:space="preserve"> </w:t>
      </w:r>
      <w:r>
        <w:rPr>
          <w:i/>
          <w:iCs/>
        </w:rPr>
        <w:t xml:space="preserve">e só quando o clube sinaliza que precisa comprar.”</w:t>
      </w:r>
    </w:p>
    <w:p>
      <w:pPr>
        <w:pStyle w:val="BlockText"/>
      </w:pPr>
      <w:r>
        <w:t xml:space="preserve">Obrigado. Estamos à disposição para perguntas.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ivisão-sugerida-por-integrante"/>
    <w:p>
      <w:pPr>
        <w:pStyle w:val="Heading1"/>
      </w:pPr>
      <w:r>
        <w:t xml:space="preserve">Divisão sugerida por integrante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Slides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Lucas</w:t>
            </w:r>
          </w:p>
        </w:tc>
        <w:tc>
          <w:tcPr/>
          <w:p>
            <w:pPr>
              <w:pStyle w:val="Compact"/>
            </w:pPr>
            <w:r>
              <w:t xml:space="preserve">1, 2, 3</w:t>
            </w:r>
          </w:p>
        </w:tc>
        <w:tc>
          <w:tcPr/>
          <w:p>
            <w:pPr>
              <w:pStyle w:val="Compact"/>
            </w:pPr>
            <w:r>
              <w:t xml:space="preserve">~2:15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César</w:t>
            </w:r>
          </w:p>
        </w:tc>
        <w:tc>
          <w:tcPr/>
          <w:p>
            <w:pPr>
              <w:pStyle w:val="Compact"/>
            </w:pPr>
            <w:r>
              <w:t xml:space="preserve">4, 5, 6, 7</w:t>
            </w:r>
          </w:p>
        </w:tc>
        <w:tc>
          <w:tcPr/>
          <w:p>
            <w:pPr>
              <w:pStyle w:val="Compact"/>
            </w:pPr>
            <w:r>
              <w:t xml:space="preserve">~4:30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8, 9, 10</w:t>
            </w:r>
          </w:p>
        </w:tc>
        <w:tc>
          <w:tcPr/>
          <w:p>
            <w:pPr>
              <w:pStyle w:val="Compact"/>
            </w:pPr>
            <w:r>
              <w:t xml:space="preserve">~4:15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Leticia</w:t>
            </w:r>
          </w:p>
        </w:tc>
        <w:tc>
          <w:tcPr/>
          <w:p>
            <w:pPr>
              <w:pStyle w:val="Compact"/>
            </w:pPr>
            <w:r>
              <w:t xml:space="preserve">11, 12, 13, 14</w:t>
            </w:r>
          </w:p>
        </w:tc>
        <w:tc>
          <w:tcPr/>
          <w:p>
            <w:pPr>
              <w:pStyle w:val="Compact"/>
            </w:pPr>
            <w:r>
              <w:t xml:space="preserve">~3:10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qa-respostas-preparadas"/>
    <w:p>
      <w:pPr>
        <w:pStyle w:val="Heading1"/>
      </w:pPr>
      <w:r>
        <w:t xml:space="preserve">Q&amp;A — Respostas preparadas</w:t>
      </w:r>
    </w:p>
    <w:p>
      <w:pPr>
        <w:pStyle w:val="FirstParagraph"/>
      </w:pPr>
      <w:r>
        <w:rPr>
          <w:b/>
          <w:bCs/>
        </w:rPr>
        <w:t xml:space="preserve">“O ATE é nulo — então o prêmio do vendedor não existe?”</w:t>
      </w:r>
      <w:r>
        <w:t xml:space="preserve"> </w:t>
      </w:r>
      <w:r>
        <w:t xml:space="preserve">&gt; Não exatamente. O ATE</w:t>
      </w:r>
      <w:r>
        <w:t xml:space="preserve"> </w:t>
      </w:r>
      <w:r>
        <w:rPr>
          <w:i/>
          <w:iCs/>
        </w:rPr>
        <w:t xml:space="preserve">médio</w:t>
      </w:r>
      <w:r>
        <w:t xml:space="preserve"> </w:t>
      </w:r>
      <w:r>
        <w:t xml:space="preserve">de 8 temporadas é nulo, mas o efeito</w:t>
      </w:r>
      <w:r>
        <w:t xml:space="preserve"> </w:t>
      </w:r>
      <w:r>
        <w:rPr>
          <w:i/>
          <w:iCs/>
        </w:rPr>
        <w:t xml:space="preserve">condicional</w:t>
      </w:r>
      <w:r>
        <w:t xml:space="preserve"> </w:t>
      </w:r>
      <w:r>
        <w:t xml:space="preserve">existe e é</w:t>
      </w:r>
      <w:r>
        <w:t xml:space="preserve"> </w:t>
      </w:r>
      <w:r>
        <w:t xml:space="preserve">&gt; robusto — em 2022–2023 é +6,4% e +4,7%,</w:t>
      </w:r>
      <w:r>
        <w:t xml:space="preserve"> </w:t>
      </w:r>
      <w:r>
        <w:rPr>
          <w:b/>
          <w:bCs/>
        </w:rPr>
        <w:t xml:space="preserve">sobrevivendo à correção de Bonferroni e FDR</w:t>
      </w:r>
      <w:r>
        <w:t xml:space="preserve">.</w:t>
      </w:r>
      <w:r>
        <w:t xml:space="preserve"> </w:t>
      </w:r>
      <w:r>
        <w:t xml:space="preserve">&gt; O achado é mais rico: o prêmio depende do regime de mercado (boom pós-COVID).</w:t>
      </w:r>
    </w:p>
    <w:p>
      <w:pPr>
        <w:pStyle w:val="BodyText"/>
      </w:pPr>
      <w:r>
        <w:rPr>
          <w:b/>
          <w:bCs/>
        </w:rPr>
        <w:t xml:space="preserve">“Como vocês sabem que 2022/2023 não é só sorte de testar 8 anos?”</w:t>
      </w:r>
      <w:r>
        <w:t xml:space="preserve"> </w:t>
      </w:r>
      <w:r>
        <w:t xml:space="preserve">(a defesa mais forte)</w:t>
      </w:r>
      <w:r>
        <w:t xml:space="preserve"> </w:t>
      </w:r>
      <w:r>
        <w:t xml:space="preserve">&gt; Três camadas: (1) Bonferroni/FDR — sobrevivem; (2)</w:t>
      </w:r>
      <w:r>
        <w:t xml:space="preserve"> </w:t>
      </w:r>
      <w:r>
        <w:rPr>
          <w:b/>
          <w:bCs/>
        </w:rPr>
        <w:t xml:space="preserve">placebo de permutação dentro da safra</w:t>
      </w:r>
      <w:r>
        <w:t xml:space="preserve">:</w:t>
      </w:r>
      <w:r>
        <w:t xml:space="preserve"> </w:t>
      </w:r>
      <w:r>
        <w:t xml:space="preserve">&gt; embaralhando D entre os clubes de 2022/2023, θ colapsa para ~0 e o observado fica fora do</w:t>
      </w:r>
      <w:r>
        <w:t xml:space="preserve"> </w:t>
      </w:r>
      <w:r>
        <w:t xml:space="preserve">&gt; percentil 97,5 do nulo, com</w:t>
      </w:r>
      <w:r>
        <w:t xml:space="preserve"> </w:t>
      </w:r>
      <w:r>
        <w:rPr>
          <w:b/>
          <w:bCs/>
        </w:rPr>
        <w:t xml:space="preserve">p empírico = 0,005</w:t>
      </w:r>
      <w:r>
        <w:t xml:space="preserve">; (3)</w:t>
      </w:r>
      <w:r>
        <w:t xml:space="preserve"> </w:t>
      </w:r>
      <w:r>
        <w:rPr>
          <w:b/>
          <w:bCs/>
        </w:rPr>
        <w:t xml:space="preserve">sensibilidade ao corte de fee</w:t>
      </w:r>
      <w:r>
        <w:t xml:space="preserve">: o</w:t>
      </w:r>
      <w:r>
        <w:t xml:space="preserve"> </w:t>
      </w:r>
      <w:r>
        <w:t xml:space="preserve">&gt; efeito de 2022/2023 é estável de €0 a €500k. Não é artefato.</w:t>
      </w:r>
    </w:p>
    <w:p>
      <w:pPr>
        <w:pStyle w:val="BodyText"/>
      </w:pPr>
      <w:r>
        <w:rPr>
          <w:b/>
          <w:bCs/>
        </w:rPr>
        <w:t xml:space="preserve">“O corte de €250k não enviesa o resultado?”</w:t>
      </w:r>
      <w:r>
        <w:t xml:space="preserve"> </w:t>
      </w:r>
      <w:r>
        <w:t xml:space="preserve">&gt; Testamos limiares de €0 a €1M reconstruindo o pipeline inteiro. O</w:t>
      </w:r>
      <w:r>
        <w:t xml:space="preserve"> </w:t>
      </w:r>
      <w:r>
        <w:rPr>
          <w:b/>
          <w:bCs/>
        </w:rPr>
        <w:t xml:space="preserve">ATE é nulo em todos</w:t>
      </w:r>
      <w:r>
        <w:t xml:space="preserve"> </w:t>
      </w:r>
      <w:r>
        <w:t xml:space="preserve">e</w:t>
      </w:r>
      <w:r>
        <w:t xml:space="preserve"> </w:t>
      </w:r>
      <w:r>
        <w:t xml:space="preserve">&gt; 2022/2023 são estáveis. Baixar para €0 (que reinclui as pechinchas) não muda nada.</w:t>
      </w:r>
    </w:p>
    <w:p>
      <w:pPr>
        <w:pStyle w:val="BodyText"/>
      </w:pPr>
      <w:r>
        <w:rPr>
          <w:b/>
          <w:bCs/>
        </w:rPr>
        <w:t xml:space="preserve">“E o confundidor</w:t>
      </w:r>
      <w:r>
        <w:rPr>
          <w:b/>
          <w:bCs/>
        </w:rPr>
        <w:t xml:space="preserve"> </w:t>
      </w:r>
      <w:r>
        <w:rPr>
          <w:b/>
          <w:bCs/>
        </w:rPr>
        <w:t xml:space="preserve">‘clube rico’</w:t>
      </w:r>
      <w:r>
        <w:rPr>
          <w:b/>
          <w:bCs/>
        </w:rPr>
        <w:t xml:space="preserve"> </w:t>
      </w:r>
      <w:r>
        <w:rPr>
          <w:b/>
          <w:bCs/>
        </w:rPr>
        <w:t xml:space="preserve">que vocês não controlam diretamente?”</w:t>
      </w:r>
      <w:r>
        <w:t xml:space="preserve"> </w:t>
      </w:r>
      <w:r>
        <w:t xml:space="preserve">&gt; Quantificamos: o</w:t>
      </w:r>
      <w:r>
        <w:t xml:space="preserve"> </w:t>
      </w:r>
      <w:r>
        <w:rPr>
          <w:b/>
          <w:bCs/>
        </w:rPr>
        <w:t xml:space="preserve">Robustness Value</w:t>
      </w:r>
      <w:r>
        <w:t xml:space="preserve"> </w:t>
      </w:r>
      <w:r>
        <w:t xml:space="preserve">é ~24–27% — um confundidor omitido teria de explicar um</w:t>
      </w:r>
      <w:r>
        <w:t xml:space="preserve"> </w:t>
      </w:r>
      <w:r>
        <w:t xml:space="preserve">&gt; quarto da variação residual de D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de Y para anular 2022/2023. Além disso, num stress test que</w:t>
      </w:r>
      <w:r>
        <w:t xml:space="preserve"> </w:t>
      </w:r>
      <w:r>
        <w:t xml:space="preserve">&gt; joga controles financeiros no W (over-control), 2023 ainda sobrevive (p≈0,003).</w:t>
      </w:r>
    </w:p>
    <w:p>
      <w:pPr>
        <w:pStyle w:val="BodyText"/>
      </w:pPr>
      <w:r>
        <w:rPr>
          <w:b/>
          <w:bCs/>
        </w:rPr>
        <w:t xml:space="preserve">“Por que o OLS com controles também não encontrou o efeito, se DML também não?”</w:t>
      </w:r>
      <w:r>
        <w:t xml:space="preserve"> </w:t>
      </w:r>
      <w:r>
        <w:t xml:space="preserve">&gt; Ambos dão θ ≈ 0,004–0,005 e IC cruzando zero. A diferença é que o DML controla as</w:t>
      </w:r>
      <w:r>
        <w:t xml:space="preserve"> </w:t>
      </w:r>
      <w:r>
        <w:t xml:space="preserve">&gt; não-linearidades em W de forma mais flexível. O resultado nulo é robusto a ambas as</w:t>
      </w:r>
      <w:r>
        <w:t xml:space="preserve"> </w:t>
      </w:r>
      <w:r>
        <w:t xml:space="preserve">&gt; especificações — isso reforça a conclusão, não enfraquece.</w:t>
      </w:r>
    </w:p>
    <w:p>
      <w:pPr>
        <w:pStyle w:val="BodyText"/>
      </w:pPr>
      <w:r>
        <w:rPr>
          <w:b/>
          <w:bCs/>
        </w:rPr>
        <w:t xml:space="preserve">“D₃ (big sale &gt; €30M) ser significativo não pode ser endogeneidade? Grandes clubes vendem caro e compram caro.”</w:t>
      </w:r>
      <w:r>
        <w:t xml:space="preserve"> </w:t>
      </w:r>
      <w:r>
        <w:t xml:space="preserve">&gt; Excelente pergunta — e nós</w:t>
      </w:r>
      <w:r>
        <w:t xml:space="preserve"> </w:t>
      </w:r>
      <w:r>
        <w:rPr>
          <w:b/>
          <w:bCs/>
        </w:rPr>
        <w:t xml:space="preserve">testamos exatamente isso</w:t>
      </w:r>
      <w:r>
        <w:t xml:space="preserve">. Quando adicionamos ao W controles de</w:t>
      </w:r>
      <w:r>
        <w:t xml:space="preserve"> </w:t>
      </w:r>
      <w:r>
        <w:t xml:space="preserve">&gt; intensidade de janela (nº de compras + gasto total),</w:t>
      </w:r>
      <w:r>
        <w:t xml:space="preserve"> </w:t>
      </w:r>
      <w:r>
        <w:rPr>
          <w:b/>
          <w:bCs/>
        </w:rPr>
        <w:t xml:space="preserve">D₂ e D₃ perdem toda a significância</w:t>
      </w:r>
      <w:r>
        <w:t xml:space="preserve">.</w:t>
      </w:r>
      <w:r>
        <w:t xml:space="preserve"> </w:t>
      </w:r>
      <w:r>
        <w:t xml:space="preserve">&gt; Ou seja, esse sinal era em grande parte</w:t>
      </w:r>
      <w:r>
        <w:t xml:space="preserve"> </w:t>
      </w:r>
      <w:r>
        <w:t xml:space="preserve">“clube ativo”</w:t>
      </w:r>
      <w:r>
        <w:t xml:space="preserve">, não um canal causal limpo. Por isso</w:t>
      </w:r>
      <w:r>
        <w:t xml:space="preserve"> </w:t>
      </w:r>
      <w:r>
        <w:t xml:space="preserve">&gt; tratamos o</w:t>
      </w:r>
      <w:r>
        <w:t xml:space="preserve"> </w:t>
      </w:r>
      <w:r>
        <w:t xml:space="preserve">“mecanismo de sinalização”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exploratório</w:t>
      </w:r>
      <w:r>
        <w:t xml:space="preserve">, não como achado confirmado.</w:t>
      </w:r>
    </w:p>
    <w:p>
      <w:pPr>
        <w:pStyle w:val="BodyText"/>
      </w:pPr>
      <w:r>
        <w:rPr>
          <w:b/>
          <w:bCs/>
        </w:rPr>
        <w:t xml:space="preserve">“O teste de lag prova causalidade reversa?”</w:t>
      </w:r>
      <w:r>
        <w:t xml:space="preserve"> </w:t>
      </w:r>
      <w:r>
        <w:t xml:space="preserve">&gt; Não prova —</w:t>
      </w:r>
      <w:r>
        <w:t xml:space="preserve"> </w:t>
      </w:r>
      <w:r>
        <w:rPr>
          <w:i/>
          <w:iCs/>
        </w:rPr>
        <w:t xml:space="preserve">enfraquece</w:t>
      </w:r>
      <w:r>
        <w:t xml:space="preserve">, e nem isso de forma conclusiva. O lag t-1 é significativo (cluster),</w:t>
      </w:r>
      <w:r>
        <w:t xml:space="preserve"> </w:t>
      </w:r>
      <w:r>
        <w:t xml:space="preserve">&gt; mas na mesma subamostra o contemporâneo é não significativo — o que sugere que o lag capta um</w:t>
      </w:r>
      <w:r>
        <w:t xml:space="preserve"> </w:t>
      </w:r>
      <w:r>
        <w:t xml:space="preserve">&gt; traço persistente de clube (</w:t>
      </w:r>
      <w:r>
        <w:t xml:space="preserve">“sempre vende”</w:t>
      </w:r>
      <w:r>
        <w:t xml:space="preserve">), não um efeito limpo. Reportamos isso abertamente.</w:t>
      </w:r>
      <w:r>
        <w:t xml:space="preserve"> </w:t>
      </w:r>
      <w:r>
        <w:t xml:space="preserve">&gt; Um teste decisivo exigiria datas diárias ou um instrumento.</w:t>
      </w:r>
    </w:p>
    <w:p>
      <w:pPr>
        <w:pStyle w:val="BodyText"/>
      </w:pPr>
      <w:r>
        <w:rPr>
          <w:b/>
          <w:bCs/>
        </w:rPr>
        <w:t xml:space="preserve">“Por que não usaram econml/CausalForestDML para o IVB?”</w:t>
      </w:r>
      <w:r>
        <w:t xml:space="preserve"> </w:t>
      </w:r>
      <w:r>
        <w:t xml:space="preserve">&gt; O econml não instala no ambiente Python 3.12 desta máquina por incompatibilidade com NumPy 2.x.</w:t>
      </w:r>
      <w:r>
        <w:t xml:space="preserve"> </w:t>
      </w:r>
      <w:r>
        <w:t xml:space="preserve">&gt; O R-learner (Nie &amp; Wager) é a alternativa mais próxima disponível. Os resultados do ATE e dos</w:t>
      </w:r>
      <w:r>
        <w:t xml:space="preserve"> </w:t>
      </w:r>
      <w:r>
        <w:t xml:space="preserve">&gt; testes de robustez são equivalentes (DML manual reproduz o econml). O IVB é ilustrativo — está</w:t>
      </w:r>
      <w:r>
        <w:t xml:space="preserve"> </w:t>
      </w:r>
      <w:r>
        <w:t xml:space="preserve">&gt; declarado explicitamente no trabalho.</w:t>
      </w:r>
    </w:p>
    <w:p>
      <w:r>
        <w:pict>
          <v:rect style="width:0;height:1.5pt" o:hralign="center" o:hrstd="t" o:hr="t"/>
        </w:pict>
      </w:r>
    </w:p>
    <w:bookmarkEnd w:id="25"/>
    <w:bookmarkStart w:id="26" w:name="cheat-sheet-de-números"/>
    <w:p>
      <w:pPr>
        <w:pStyle w:val="Heading1"/>
      </w:pPr>
      <w:r>
        <w:t xml:space="preserve">Cheat sheet de números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Transferências modeladas</w:t>
            </w:r>
          </w:p>
        </w:tc>
        <w:tc>
          <w:tcPr/>
          <w:p>
            <w:pPr>
              <w:pStyle w:val="Compact"/>
            </w:pPr>
            <w:r>
              <w:t xml:space="preserve">5.146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Temporadas</w:t>
            </w:r>
          </w:p>
        </w:tc>
        <w:tc>
          <w:tcPr/>
          <w:p>
            <w:pPr>
              <w:pStyle w:val="Compact"/>
            </w:pPr>
            <w:r>
              <w:t xml:space="preserve">2017–2025 (exceto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Test R²</w:t>
            </w:r>
          </w:p>
        </w:tc>
        <w:tc>
          <w:tcPr/>
          <w:p>
            <w:pPr>
              <w:pStyle w:val="Compact"/>
            </w:pPr>
            <w:r>
              <w:t xml:space="preserve">0,762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Test RMSE</w:t>
            </w:r>
          </w:p>
        </w:tc>
        <w:tc>
          <w:tcPr/>
          <w:p>
            <w:pPr>
              <w:pStyle w:val="Compact"/>
            </w:pPr>
            <w:r>
              <w:t xml:space="preserve">0,673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com sobrepreço</w:t>
            </w:r>
          </w:p>
        </w:tc>
        <w:tc>
          <w:tcPr/>
          <w:p>
            <w:pPr>
              <w:pStyle w:val="Compact"/>
            </w:pPr>
            <w:r>
              <w:t xml:space="preserve">52,5% (out-of-fold)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Prêmio mediano</w:t>
            </w:r>
          </w:p>
        </w:tc>
        <w:tc>
          <w:tcPr/>
          <w:p>
            <w:pPr>
              <w:pStyle w:val="Compact"/>
            </w:pPr>
            <w:r>
              <w:t xml:space="preserve">+3,5%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OLS sem controles 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0,0142*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DML ATE 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0,0044 (n.s., HC1 e cluster)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 2022 θ</w:t>
            </w:r>
          </w:p>
        </w:tc>
        <w:tc>
          <w:tcPr/>
          <w:p>
            <w:pPr>
              <w:pStyle w:val="Compact"/>
            </w:pPr>
            <w:r>
              <w:t xml:space="preserve">+0,064* (sobrevive Bonferroni)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 2023 θ</w:t>
            </w:r>
          </w:p>
        </w:tc>
        <w:tc>
          <w:tcPr/>
          <w:p>
            <w:pPr>
              <w:pStyle w:val="Compact"/>
            </w:pPr>
            <w:r>
              <w:t xml:space="preserve">+0,047* (sobrevive Bonferroni)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D₂ (n_sales) θ</w:t>
            </w:r>
          </w:p>
        </w:tc>
        <w:tc>
          <w:tcPr/>
          <w:p>
            <w:pPr>
              <w:pStyle w:val="Compact"/>
            </w:pPr>
            <w:r>
              <w:t xml:space="preserve">+0,049* bruto → n.s. com controle de atividade (exploratório)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D₃ (big_sale) θ</w:t>
            </w:r>
          </w:p>
        </w:tc>
        <w:tc>
          <w:tcPr/>
          <w:p>
            <w:pPr>
              <w:pStyle w:val="Compact"/>
            </w:pPr>
            <w:r>
              <w:t xml:space="preserve">+0,075* bruto → n.s. com controle de atividade (exploratório)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 (C2) θ</w:t>
            </w:r>
          </w:p>
        </w:tc>
        <w:tc>
          <w:tcPr/>
          <w:p>
            <w:pPr>
              <w:pStyle w:val="Compact"/>
            </w:pPr>
            <w:r>
              <w:t xml:space="preserve">+0,0051* (cluster; não conclusivo)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Placebo shuffle θ</w:t>
            </w:r>
          </w:p>
        </w:tc>
        <w:tc>
          <w:tcPr/>
          <w:p>
            <w:pPr>
              <w:pStyle w:val="Compact"/>
            </w:pPr>
            <w:r>
              <w:t xml:space="preserve">0,0024 (n.s.)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model_t (m̂)</w:t>
            </w:r>
          </w:p>
        </w:tc>
        <w:tc>
          <w:tcPr/>
          <w:p>
            <w:pPr>
              <w:pStyle w:val="Compact"/>
            </w:pPr>
            <w:r>
              <w:t xml:space="preserve">0,37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model_y (ĝ)</w:t>
            </w:r>
          </w:p>
        </w:tc>
        <w:tc>
          <w:tcPr/>
          <w:p>
            <w:pPr>
              <w:pStyle w:val="Compact"/>
            </w:pPr>
            <w:r>
              <w:t xml:space="preserve">0,06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Confundidores em W</w:t>
            </w:r>
          </w:p>
        </w:tc>
        <w:tc>
          <w:tcPr/>
          <w:p>
            <w:pPr>
              <w:pStyle w:val="Compact"/>
            </w:pPr>
            <w:r>
              <w:t xml:space="preserve">19 (+ SE clusterizado em 974 clusters clube×temporada)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IVB top</w:t>
            </w:r>
            <w:r>
              <w:t xml:space="preserve"> </w:t>
            </w:r>
            <w:r>
              <w:t xml:space="preserve">“presa”</w:t>
            </w:r>
          </w:p>
        </w:tc>
        <w:tc>
          <w:tcPr/>
          <w:p>
            <w:pPr>
              <w:pStyle w:val="Compact"/>
            </w:pPr>
            <w:r>
              <w:t xml:space="preserve">Nîmes Olympique (ilustrativo)</w:t>
            </w:r>
          </w:p>
        </w:tc>
      </w:tr>
    </w:tbl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2026-06-19T13:21:43Z</dcterms:created>
  <dcterms:modified xsi:type="dcterms:W3CDTF">2026-06-19T13:21:43Z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