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20"/>
        <w:jc w:val="center"/>
      </w:pPr>
      <w:r>
        <w:rPr>
          <w:b/>
          <w:bCs/>
          <w:sz w:val="24"/>
          <w:szCs w:val="24"/>
        </w:rPr>
        <w:t xml:space="preserve">FIAP — Faculdade de Informática e Administração Paulista</w:t>
      </w:r>
    </w:p>
    <w:p>
      <w:pPr>
        <w:spacing w:after="160" w:before="120"/>
        <w:jc w:val="center"/>
      </w:pPr>
      <w:r>
        <w:drawing>
          <wp:inline distT="0" distB="0" distL="0" distR="0">
            <wp:extent cx="1714500" cy="457200"/>
            <wp:effectExtent t="0" r="0" b="0" l="0"/>
            <wp:docPr id="1" name="imagem" descr="imagem" title="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457200"/>
                    </a:xfrm>
                    <a:prstGeom prst="rect">
                      <a:avLst/>
                    </a:prstGeom>
                  </pic:spPr>
                </pic:pic>
              </a:graphicData>
            </a:graphic>
          </wp:inline>
        </w:drawing>
      </w:r>
    </w:p>
    <w:p>
      <w:r>
        <w:t xml:space="preserve"/>
      </w:r>
    </w:p>
    <w:p>
      <w:pPr>
        <w:spacing w:after="80" w:before="240"/>
        <w:jc w:val="center"/>
      </w:pPr>
      <w:r>
        <w:rPr>
          <w:b/>
          <w:bCs/>
          <w:color w:val="1F4E2C"/>
          <w:sz w:val="56"/>
          <w:szCs w:val="56"/>
        </w:rPr>
        <w:t xml:space="preserve">Sentinela Amazônia</w:t>
      </w:r>
    </w:p>
    <w:p>
      <w:pPr>
        <w:spacing w:after="240"/>
        <w:jc w:val="center"/>
      </w:pPr>
      <w:r>
        <w:rPr>
          <w:b w:val="false"/>
          <w:bCs w:val="false"/>
          <w:sz w:val="28"/>
          <w:szCs w:val="28"/>
        </w:rPr>
        <w:t xml:space="preserve">Monitoramento Inteligente de Queimadas com Dados de Satélite</w:t>
      </w:r>
    </w:p>
    <w:p>
      <w:r>
        <w:t xml:space="preserve"/>
      </w:r>
    </w:p>
    <w:p>
      <w:pPr>
        <w:spacing w:after="80"/>
        <w:jc w:val="center"/>
      </w:pPr>
      <w:r>
        <w:rPr>
          <w:b/>
          <w:bCs/>
          <w:sz w:val="26"/>
          <w:szCs w:val="26"/>
        </w:rPr>
        <w:t xml:space="preserve">Sub Global Solution 2026.1</w:t>
      </w:r>
    </w:p>
    <w:p>
      <w:pPr>
        <w:spacing w:after="80"/>
        <w:jc w:val="center"/>
      </w:pPr>
      <w:r>
        <w:rPr>
          <w:b w:val="false"/>
          <w:bCs w:val="false"/>
          <w:sz w:val="24"/>
          <w:szCs w:val="24"/>
        </w:rPr>
        <w:t xml:space="preserve">Graduação ON em Inteligência Artificial</w:t>
      </w:r>
    </w:p>
    <w:p>
      <w:r>
        <w:t xml:space="preserve"/>
      </w:r>
    </w:p>
    <w:p>
      <w:r>
        <w:t xml:space="preserve"/>
      </w:r>
    </w:p>
    <w:p>
      <w:pPr>
        <w:spacing w:after="80"/>
        <w:jc w:val="center"/>
      </w:pPr>
      <w:r>
        <w:rPr>
          <w:b/>
          <w:bCs/>
          <w:sz w:val="26"/>
          <w:szCs w:val="26"/>
        </w:rPr>
        <w:t xml:space="preserve">Nome: Letícia Angelim Guerra</w:t>
      </w:r>
    </w:p>
    <w:p>
      <w:pPr>
        <w:spacing w:after="80"/>
        <w:jc w:val="center"/>
      </w:pPr>
      <w:r>
        <w:rPr>
          <w:b/>
          <w:bCs/>
          <w:sz w:val="26"/>
          <w:szCs w:val="26"/>
        </w:rPr>
        <w:t xml:space="preserve">RM: 567501</w:t>
      </w:r>
    </w:p>
    <w:p>
      <w:r>
        <w:t xml:space="preserve"/>
      </w:r>
    </w:p>
    <w:p>
      <w:pPr>
        <w:spacing w:after="80"/>
        <w:jc w:val="center"/>
      </w:pPr>
      <w:r>
        <w:rPr>
          <w:b w:val="false"/>
          <w:bCs w:val="false"/>
          <w:sz w:val="22"/>
          <w:szCs w:val="22"/>
        </w:rPr>
        <w:t xml:space="preserve">Junho de 2026</w:t>
      </w:r>
    </w:p>
    <w:p>
      <w:r>
        <w:br w:type="page"/>
      </w:r>
    </w:p>
    <w:p>
      <w:pPr>
        <w:pStyle w:val="Heading1"/>
      </w:pPr>
      <w:r>
        <w:t xml:space="preserve">1. Introdução</w:t>
      </w:r>
    </w:p>
    <w:p>
      <w:pPr>
        <w:spacing w:after="120"/>
      </w:pPr>
      <w:r>
        <w:t xml:space="preserve">A exploração espacial deixou de ser apenas científica: hoje, os satélites de observação da Terra são uma das peças centrais da nova economia espacial. Eles monitoram o clima, apoiam o agronegócio e — o que motiva este projeto — detectam, todos os dias, focos de calor na superfície do planeta. Esses dados, gerados no espaço, têm um valor enorme para resolver um problema muito concreto aqui na Terra: as queimadas na Amazônia.</w:t>
      </w:r>
    </w:p>
    <w:p>
      <w:pPr>
        <w:spacing w:after="120"/>
      </w:pPr>
      <w:r>
        <w:t xml:space="preserve">A Amazônia sofre com milhares de focos de queimada por dia durante a estação seca. O desafio não é só saber que há fogo — os satélites já nos dão isso —, mas transformar milhares de pontos soltos num mapa em uma decisão: onde agir primeiro? Que regiões concentram o fogo mais intenso?</w:t>
      </w:r>
    </w:p>
    <w:p>
      <w:pPr>
        <w:spacing w:after="120"/>
      </w:pPr>
      <w:r>
        <w:t xml:space="preserve">Este projeto responde à pergunta central da Sub Global Solution 2026.1: como a Inteligência Artificial e as tecnologias digitais podem transformar a nova economia espacial e gerar impacto positivo na Terra?</w:t>
      </w:r>
    </w:p>
    <w:p>
      <w:pPr>
        <w:spacing w:after="120"/>
      </w:pPr>
      <w:r>
        <w:t xml:space="preserve">Objetivo: desenvolver uma prova de conceito (POC) que use dados reais de satélite e Inteligência Artificial para identificar automaticamente as regiões mais críticas de queimada na Amazônia Legal, apoiando a priorização do combate ao fogo.</w:t>
      </w:r>
    </w:p>
    <w:p>
      <w:pPr>
        <w:pStyle w:val="Heading1"/>
      </w:pPr>
      <w:r>
        <w:t xml:space="preserve">2. Desenvolvimento</w:t>
      </w:r>
    </w:p>
    <w:p>
      <w:pPr>
        <w:pStyle w:val="Heading2"/>
      </w:pPr>
      <w:r>
        <w:t xml:space="preserve">2.1 Visão geral da solução</w:t>
      </w:r>
    </w:p>
    <w:p>
      <w:pPr>
        <w:spacing w:after="120"/>
      </w:pPr>
      <w:r>
        <w:t xml:space="preserve">A solução é um pipeline completo que vai do dado de satélite até a informação pronta para decisão:</w:t>
      </w:r>
    </w:p>
    <w:p>
      <w:pPr>
        <w:spacing w:after="160" w:before="120"/>
        <w:jc w:val="center"/>
      </w:pPr>
      <w:r>
        <w:drawing>
          <wp:inline distT="0" distB="0" distL="0" distR="0">
            <wp:extent cx="5943600" cy="1190625"/>
            <wp:effectExtent t="0" r="0" b="0" l="0"/>
            <wp:docPr id="1" name="imagem" descr="imagem" title="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190625"/>
                    </a:xfrm>
                    <a:prstGeom prst="rect">
                      <a:avLst/>
                    </a:prstGeom>
                  </pic:spPr>
                </pic:pic>
              </a:graphicData>
            </a:graphic>
          </wp:inline>
        </w:drawing>
      </w:r>
    </w:p>
    <w:p>
      <w:pPr>
        <w:pStyle w:val="ListParagraph"/>
        <w:numPr>
          <w:ilvl w:val="0"/>
          <w:numId w:val="2"/>
        </w:numPr>
        <w:spacing w:after="60"/>
      </w:pPr>
      <w:r>
        <w:t xml:space="preserve">Satélites VIIRS detectam focos de calor a partir do espaço.</w:t>
      </w:r>
    </w:p>
    <w:p>
      <w:pPr>
        <w:pStyle w:val="ListParagraph"/>
        <w:numPr>
          <w:ilvl w:val="0"/>
          <w:numId w:val="2"/>
        </w:numPr>
        <w:spacing w:after="60"/>
      </w:pPr>
      <w:r>
        <w:t xml:space="preserve">A API do NASA FIRMS disponibiliza esses dados de forma aberta.</w:t>
      </w:r>
    </w:p>
    <w:p>
      <w:pPr>
        <w:pStyle w:val="ListParagraph"/>
        <w:numPr>
          <w:ilvl w:val="0"/>
          <w:numId w:val="2"/>
        </w:numPr>
        <w:spacing w:after="60"/>
      </w:pPr>
      <w:r>
        <w:t xml:space="preserve">Um script em Python baixa e organiza os dados.</w:t>
      </w:r>
    </w:p>
    <w:p>
      <w:pPr>
        <w:pStyle w:val="ListParagraph"/>
        <w:numPr>
          <w:ilvl w:val="0"/>
          <w:numId w:val="2"/>
        </w:numPr>
        <w:spacing w:after="60"/>
      </w:pPr>
      <w:r>
        <w:t xml:space="preserve">Os dados são salvos em uma base estruturada (CSV).</w:t>
      </w:r>
    </w:p>
    <w:p>
      <w:pPr>
        <w:pStyle w:val="ListParagraph"/>
        <w:numPr>
          <w:ilvl w:val="0"/>
          <w:numId w:val="2"/>
        </w:numPr>
        <w:spacing w:after="60"/>
      </w:pPr>
      <w:r>
        <w:t xml:space="preserve">Um dashboard em Streamlit apresenta tudo e aplica Inteligência Artificial (clusterização) para encontrar as regiões críticas.</w:t>
      </w:r>
    </w:p>
    <w:p>
      <w:pPr>
        <w:pStyle w:val="ListParagraph"/>
        <w:numPr>
          <w:ilvl w:val="0"/>
          <w:numId w:val="2"/>
        </w:numPr>
        <w:spacing w:after="60"/>
      </w:pPr>
      <w:r>
        <w:t xml:space="preserve">O resultado é a priorização das áreas para combate ao fogo.</w:t>
      </w:r>
    </w:p>
    <w:p>
      <w:pPr>
        <w:pStyle w:val="Heading2"/>
      </w:pPr>
      <w:r>
        <w:t xml:space="preserve">2.2 Fonte de dados</w:t>
      </w:r>
    </w:p>
    <w:p>
      <w:pPr>
        <w:spacing w:after="120"/>
      </w:pPr>
      <w:r>
        <w:t xml:space="preserve">Os dados vêm do NASA FIRMS (Fire Information for Resource Management System), serviço público e gratuito da NASA. Foram utilizados três satélites da família VIIRS (Suomi-NPP, NOAA-20 e NOAA-21), que detectam anomalias térmicas na superfície.</w:t>
      </w:r>
    </w:p>
    <w:p>
      <w:pPr>
        <w:spacing w:after="120"/>
      </w:pPr>
      <w:r>
        <w:t xml:space="preserve">A variável mais importante é o FRP (Fire Radiative Power), medido em megawatts (MW): ele representa a potência radiativa do fogo, ou seja, a intensidade de cada foco. É o que permite diferenciar uma pequena queimada de um grande incêndio. A região monitorada é a Amazônia Legal, delimitada por uma caixa de coordenadas geográficas.</w:t>
      </w:r>
    </w:p>
    <w:p>
      <w:pPr>
        <w:pStyle w:val="Heading2"/>
      </w:pPr>
      <w:r>
        <w:t xml:space="preserve">2.3 Coleta de dados</w:t>
      </w:r>
    </w:p>
    <w:p>
      <w:pPr>
        <w:spacing w:after="120"/>
      </w:pPr>
      <w:r>
        <w:t xml:space="preserve">O script download_dados.py consome a API do FIRMS, combinando os três satélites para ampliar a cobertura. Trecho principal:</w:t>
      </w:r>
    </w:p>
    <w:p>
      <w:pPr>
        <w:shd w:fill="F4F4F4" w:val="clear"/>
        <w:spacing w:after="0"/>
      </w:pPr>
      <w:r>
        <w:rPr>
          <w:rFonts w:ascii="Courier New" w:cs="Courier New" w:eastAsia="Courier New" w:hAnsi="Courier New"/>
          <w:sz w:val="18"/>
          <w:szCs w:val="18"/>
        </w:rPr>
        <w:t xml:space="preserve">FONTES = ["VIIRS_SNPP_NRT", "VIIRS_NOAA20_NRT", "VIIRS_NOAA21_NRT"]</w:t>
      </w:r>
    </w:p>
    <w:p>
      <w:pPr>
        <w:shd w:fill="F4F4F4" w:val="clear"/>
        <w:spacing w:after="0"/>
      </w:pPr>
      <w:r>
        <w:rPr>
          <w:rFonts w:ascii="Courier New" w:cs="Courier New" w:eastAsia="Courier New" w:hAnsi="Courier New"/>
          <w:sz w:val="18"/>
          <w:szCs w:val="18"/>
        </w:rPr>
        <w:t xml:space="preserve">AREA_AMAZONIA = "-74,-18,-44,5"   # oeste, sul, leste, norte</w:t>
      </w:r>
    </w:p>
    <w:p>
      <w:pPr>
        <w:shd w:fill="F4F4F4" w:val="clear"/>
        <w:spacing w:after="0"/>
      </w:pPr>
      <w:r>
        <w:rPr>
          <w:rFonts w:ascii="Courier New" w:cs="Courier New" w:eastAsia="Courier New" w:hAnsi="Courier New"/>
          <w:sz w:val="18"/>
          <w:szCs w:val="18"/>
        </w:rPr>
        <w:t xml:space="preserve">DIAS = 5                          # a API em tempo real permite no máximo 5 dias</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def baixar_focos(map_key):</w:t>
      </w:r>
    </w:p>
    <w:p>
      <w:pPr>
        <w:shd w:fill="F4F4F4" w:val="clear"/>
        <w:spacing w:after="0"/>
      </w:pPr>
      <w:r>
        <w:rPr>
          <w:rFonts w:ascii="Courier New" w:cs="Courier New" w:eastAsia="Courier New" w:hAnsi="Courier New"/>
          <w:sz w:val="18"/>
          <w:szCs w:val="18"/>
        </w:rPr>
        <w:t xml:space="preserve">    partes = []</w:t>
      </w:r>
    </w:p>
    <w:p>
      <w:pPr>
        <w:shd w:fill="F4F4F4" w:val="clear"/>
        <w:spacing w:after="0"/>
      </w:pPr>
      <w:r>
        <w:rPr>
          <w:rFonts w:ascii="Courier New" w:cs="Courier New" w:eastAsia="Courier New" w:hAnsi="Courier New"/>
          <w:sz w:val="18"/>
          <w:szCs w:val="18"/>
        </w:rPr>
        <w:t xml:space="preserve">    for fonte in FONTES:</w:t>
      </w:r>
    </w:p>
    <w:p>
      <w:pPr>
        <w:shd w:fill="F4F4F4" w:val="clear"/>
        <w:spacing w:after="0"/>
      </w:pPr>
      <w:r>
        <w:rPr>
          <w:rFonts w:ascii="Courier New" w:cs="Courier New" w:eastAsia="Courier New" w:hAnsi="Courier New"/>
          <w:sz w:val="18"/>
          <w:szCs w:val="18"/>
        </w:rPr>
        <w:t xml:space="preserve">        url = (</w:t>
      </w:r>
    </w:p>
    <w:p>
      <w:pPr>
        <w:shd w:fill="F4F4F4" w:val="clear"/>
        <w:spacing w:after="0"/>
      </w:pPr>
      <w:r>
        <w:rPr>
          <w:rFonts w:ascii="Courier New" w:cs="Courier New" w:eastAsia="Courier New" w:hAnsi="Courier New"/>
          <w:sz w:val="18"/>
          <w:szCs w:val="18"/>
        </w:rPr>
        <w:t xml:space="preserve">            "https://firms.modaps.eosdis.nasa.gov/api/area/csv/"</w:t>
      </w:r>
    </w:p>
    <w:p>
      <w:pPr>
        <w:shd w:fill="F4F4F4" w:val="clear"/>
        <w:spacing w:after="0"/>
      </w:pPr>
      <w:r>
        <w:rPr>
          <w:rFonts w:ascii="Courier New" w:cs="Courier New" w:eastAsia="Courier New" w:hAnsi="Courier New"/>
          <w:sz w:val="18"/>
          <w:szCs w:val="18"/>
        </w:rPr>
        <w:t xml:space="preserve">            f"{map_key}/{fonte}/{AREA_AMAZONIA}/{DIAS}"</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        resposta = requests.get(url, timeout=60)</w:t>
      </w:r>
    </w:p>
    <w:p>
      <w:pPr>
        <w:shd w:fill="F4F4F4" w:val="clear"/>
        <w:spacing w:after="0"/>
      </w:pPr>
      <w:r>
        <w:rPr>
          <w:rFonts w:ascii="Courier New" w:cs="Courier New" w:eastAsia="Courier New" w:hAnsi="Courier New"/>
          <w:sz w:val="18"/>
          <w:szCs w:val="18"/>
        </w:rPr>
        <w:t xml:space="preserve">        parte = pd.read_csv(StringIO(resposta.text))</w:t>
      </w:r>
    </w:p>
    <w:p>
      <w:pPr>
        <w:shd w:fill="F4F4F4" w:val="clear"/>
        <w:spacing w:after="0"/>
      </w:pPr>
      <w:r>
        <w:rPr>
          <w:rFonts w:ascii="Courier New" w:cs="Courier New" w:eastAsia="Courier New" w:hAnsi="Courier New"/>
          <w:sz w:val="18"/>
          <w:szCs w:val="18"/>
        </w:rPr>
        <w:t xml:space="preserve">        partes.append(parte)</w:t>
      </w:r>
    </w:p>
    <w:p>
      <w:pPr>
        <w:shd w:fill="F4F4F4" w:val="clear"/>
        <w:spacing w:after="160"/>
      </w:pPr>
      <w:r>
        <w:rPr>
          <w:rFonts w:ascii="Courier New" w:cs="Courier New" w:eastAsia="Courier New" w:hAnsi="Courier New"/>
          <w:sz w:val="18"/>
          <w:szCs w:val="18"/>
        </w:rPr>
        <w:t xml:space="preserve">    return pd.concat(partes, ignore_index=True)</w:t>
      </w:r>
    </w:p>
    <w:p>
      <w:pPr>
        <w:pStyle w:val="Heading2"/>
      </w:pPr>
      <w:r>
        <w:t xml:space="preserve">2.4 A aplicação (dashboard)</w:t>
      </w:r>
    </w:p>
    <w:p>
      <w:pPr>
        <w:spacing w:after="120"/>
      </w:pPr>
      <w:r>
        <w:t xml:space="preserve">A interface foi construída em Streamlit. Ela oferece indicadores (total de focos, dias monitorados, FRP médio e máximo), um mapa interativo dos focos coloridos pela intensidade, um gráfico de evolução diária e filtros por período, intensidade e horário.</w:t>
      </w:r>
    </w:p>
    <w:p>
      <w:pPr>
        <w:pBdr>
          <w:top w:val="dashed" w:color="E0A800" w:sz="6" w:space="6"/>
          <w:bottom w:val="dashed" w:color="E0A800" w:sz="6" w:space="6"/>
          <w:left w:val="dashed" w:color="E0A800" w:sz="6" w:space="6"/>
          <w:right w:val="dashed" w:color="E0A800" w:sz="6" w:space="6"/>
        </w:pBdr>
        <w:shd w:fill="FFF3CD" w:val="clear"/>
        <w:spacing w:after="160" w:before="120"/>
        <w:jc w:val="center"/>
      </w:pPr>
      <w:r>
        <w:rPr>
          <w:b/>
          <w:bCs/>
          <w:color w:val="8a6d00"/>
          <w:sz w:val="22"/>
          <w:szCs w:val="22"/>
        </w:rPr>
        <w:t xml:space="preserve">[ COLE AQUI O PRINT 1 — Painel principal: título, indicadores e mapa ]</w:t>
      </w:r>
    </w:p>
    <w:p>
      <w:pPr>
        <w:pBdr>
          <w:top w:val="dashed" w:color="E0A800" w:sz="6" w:space="6"/>
          <w:bottom w:val="dashed" w:color="E0A800" w:sz="6" w:space="6"/>
          <w:left w:val="dashed" w:color="E0A800" w:sz="6" w:space="6"/>
          <w:right w:val="dashed" w:color="E0A800" w:sz="6" w:space="6"/>
        </w:pBdr>
        <w:shd w:fill="FFF3CD" w:val="clear"/>
        <w:spacing w:after="160" w:before="120"/>
        <w:jc w:val="center"/>
      </w:pPr>
      <w:r>
        <w:rPr>
          <w:b/>
          <w:bCs/>
          <w:color w:val="8a6d00"/>
          <w:sz w:val="22"/>
          <w:szCs w:val="22"/>
        </w:rPr>
        <w:t xml:space="preserve">[ COLE AQUI O PRINT 2 — Nota de sazonalidade + gráfico de evolução ]</w:t>
      </w:r>
    </w:p>
    <w:p>
      <w:pPr>
        <w:pStyle w:val="Heading2"/>
      </w:pPr>
      <w:r>
        <w:t xml:space="preserve">2.5 Inteligência Artificial: clusterização DBSCAN</w:t>
      </w:r>
    </w:p>
    <w:p>
      <w:pPr>
        <w:spacing w:after="120"/>
      </w:pPr>
      <w:r>
        <w:t xml:space="preserve">O coração analítico do projeto é o algoritmo DBSCAN (Density-Based Spatial Clustering of Applications with Noise), um método de aprendizado de máquina não supervisionado. Ele agrupa focos geograficamente próximos e concentrados, e trata focos isolados como ruído.</w:t>
      </w:r>
    </w:p>
    <w:p>
      <w:pPr>
        <w:spacing w:after="120"/>
      </w:pPr>
      <w:r>
        <w:t xml:space="preserve">A escolha do DBSCAN faz sentido porque:</w:t>
      </w:r>
    </w:p>
    <w:p>
      <w:pPr>
        <w:pStyle w:val="ListParagraph"/>
        <w:numPr>
          <w:ilvl w:val="0"/>
          <w:numId w:val="2"/>
        </w:numPr>
        <w:spacing w:after="60"/>
      </w:pPr>
      <w:r>
        <w:t xml:space="preserve">Não precisa de dados rotulados — não temos um gabarito de quais regiões são críticas; o algoritmo descobre sozinho.</w:t>
      </w:r>
    </w:p>
    <w:p>
      <w:pPr>
        <w:pStyle w:val="ListParagraph"/>
        <w:numPr>
          <w:ilvl w:val="0"/>
          <w:numId w:val="2"/>
        </w:numPr>
        <w:spacing w:after="60"/>
      </w:pPr>
      <w:r>
        <w:t xml:space="preserve">Não exige definir o número de grupos antecipadamente (diferente do K-Means).</w:t>
      </w:r>
    </w:p>
    <w:p>
      <w:pPr>
        <w:pStyle w:val="ListParagraph"/>
        <w:numPr>
          <w:ilvl w:val="0"/>
          <w:numId w:val="2"/>
        </w:numPr>
        <w:spacing w:after="60"/>
      </w:pPr>
      <w:r>
        <w:t xml:space="preserve">Separa o sinal do ruído — focos espalhados não viram região crítica.</w:t>
      </w:r>
    </w:p>
    <w:p>
      <w:pPr>
        <w:spacing w:after="120"/>
      </w:pPr>
      <w:r>
        <w:t xml:space="preserve">Usei a distância haversine (distância real sobre a esfera terrestre), convertendo o raio de agrupamento de quilômetros para radianos:</w:t>
      </w:r>
    </w:p>
    <w:p>
      <w:pPr>
        <w:shd w:fill="F4F4F4" w:val="clear"/>
        <w:spacing w:after="0"/>
      </w:pPr>
      <w:r>
        <w:rPr>
          <w:rFonts w:ascii="Courier New" w:cs="Courier New" w:eastAsia="Courier New" w:hAnsi="Courier New"/>
          <w:sz w:val="18"/>
          <w:szCs w:val="18"/>
        </w:rPr>
        <w:t xml:space="preserve">from sklearn.cluster import DBSCAN</w:t>
      </w:r>
    </w:p>
    <w:p>
      <w:pPr>
        <w:shd w:fill="F4F4F4" w:val="clear"/>
        <w:spacing w:after="0"/>
      </w:pPr>
      <w:r>
        <w:rPr>
          <w:rFonts w:ascii="Courier New" w:cs="Courier New" w:eastAsia="Courier New" w:hAnsi="Courier New"/>
          <w:sz w:val="18"/>
          <w:szCs w:val="18"/>
        </w:rPr>
        <w:t xml:space="preserve">import numpy as np</w:t>
      </w:r>
    </w:p>
    <w:p>
      <w:pPr>
        <w:shd w:fill="F4F4F4" w:val="clear"/>
        <w:spacing w:after="0"/>
      </w:pPr>
      <w:r>
        <w:rPr>
          <w:rFonts w:ascii="Courier New" w:cs="Courier New" w:eastAsia="Courier New" w:hAnsi="Courier New"/>
          <w:sz w:val="18"/>
          <w:szCs w:val="18"/>
        </w:rPr>
        <w:t xml:space="preserve"> </w:t>
      </w:r>
    </w:p>
    <w:p>
      <w:pPr>
        <w:shd w:fill="F4F4F4" w:val="clear"/>
        <w:spacing w:after="0"/>
      </w:pPr>
      <w:r>
        <w:rPr>
          <w:rFonts w:ascii="Courier New" w:cs="Courier New" w:eastAsia="Courier New" w:hAnsi="Courier New"/>
          <w:sz w:val="18"/>
          <w:szCs w:val="18"/>
        </w:rPr>
        <w:t xml:space="preserve">coords = np.radians(df[["latitude", "longitude"]].to_numpy())</w:t>
      </w:r>
    </w:p>
    <w:p>
      <w:pPr>
        <w:shd w:fill="F4F4F4" w:val="clear"/>
        <w:spacing w:after="0"/>
      </w:pPr>
      <w:r>
        <w:rPr>
          <w:rFonts w:ascii="Courier New" w:cs="Courier New" w:eastAsia="Courier New" w:hAnsi="Courier New"/>
          <w:sz w:val="18"/>
          <w:szCs w:val="18"/>
        </w:rPr>
        <w:t xml:space="preserve">modelo = DBSCAN(</w:t>
      </w:r>
    </w:p>
    <w:p>
      <w:pPr>
        <w:shd w:fill="F4F4F4" w:val="clear"/>
        <w:spacing w:after="0"/>
      </w:pPr>
      <w:r>
        <w:rPr>
          <w:rFonts w:ascii="Courier New" w:cs="Courier New" w:eastAsia="Courier New" w:hAnsi="Courier New"/>
          <w:sz w:val="18"/>
          <w:szCs w:val="18"/>
        </w:rPr>
        <w:t xml:space="preserve">    eps=raio_km / 6371.0,   # raio de vizinhança (km -&gt; radianos)</w:t>
      </w:r>
    </w:p>
    <w:p>
      <w:pPr>
        <w:shd w:fill="F4F4F4" w:val="clear"/>
        <w:spacing w:after="0"/>
      </w:pPr>
      <w:r>
        <w:rPr>
          <w:rFonts w:ascii="Courier New" w:cs="Courier New" w:eastAsia="Courier New" w:hAnsi="Courier New"/>
          <w:sz w:val="18"/>
          <w:szCs w:val="18"/>
        </w:rPr>
        <w:t xml:space="preserve">    min_samples=min_focos,  # mínimo de focos para formar uma região</w:t>
      </w:r>
    </w:p>
    <w:p>
      <w:pPr>
        <w:shd w:fill="F4F4F4" w:val="clear"/>
        <w:spacing w:after="0"/>
      </w:pPr>
      <w:r>
        <w:rPr>
          <w:rFonts w:ascii="Courier New" w:cs="Courier New" w:eastAsia="Courier New" w:hAnsi="Courier New"/>
          <w:sz w:val="18"/>
          <w:szCs w:val="18"/>
        </w:rPr>
        <w:t xml:space="preserve">    metric="haversine",</w:t>
      </w:r>
    </w:p>
    <w:p>
      <w:pPr>
        <w:shd w:fill="F4F4F4" w:val="clear"/>
        <w:spacing w:after="0"/>
      </w:pPr>
      <w:r>
        <w:rPr>
          <w:rFonts w:ascii="Courier New" w:cs="Courier New" w:eastAsia="Courier New" w:hAnsi="Courier New"/>
          <w:sz w:val="18"/>
          <w:szCs w:val="18"/>
        </w:rPr>
        <w:t xml:space="preserve">)</w:t>
      </w:r>
    </w:p>
    <w:p>
      <w:pPr>
        <w:shd w:fill="F4F4F4" w:val="clear"/>
        <w:spacing w:after="160"/>
      </w:pPr>
      <w:r>
        <w:rPr>
          <w:rFonts w:ascii="Courier New" w:cs="Courier New" w:eastAsia="Courier New" w:hAnsi="Courier New"/>
          <w:sz w:val="18"/>
          <w:szCs w:val="18"/>
        </w:rPr>
        <w:t xml:space="preserve">df["cluster"] = modelo.fit_predict(coords)</w:t>
      </w:r>
    </w:p>
    <w:p>
      <w:pPr>
        <w:spacing w:after="120"/>
      </w:pPr>
      <w:r>
        <w:t xml:space="preserve">Cada região identificada recebe um índice de severidade, que prioriza áreas grandes E intensas ao mesmo tempo:</w:t>
      </w:r>
    </w:p>
    <w:p>
      <w:pPr>
        <w:shd w:fill="F4F4F4" w:val="clear"/>
        <w:spacing w:after="160"/>
      </w:pPr>
      <w:r>
        <w:rPr>
          <w:rFonts w:ascii="Courier New" w:cs="Courier New" w:eastAsia="Courier New" w:hAnsi="Courier New"/>
          <w:sz w:val="18"/>
          <w:szCs w:val="18"/>
        </w:rPr>
        <w:t xml:space="preserve">severidade = numero_de_focos * frp_medio</w:t>
      </w:r>
    </w:p>
    <w:p>
      <w:pPr>
        <w:pBdr>
          <w:top w:val="dashed" w:color="E0A800" w:sz="6" w:space="6"/>
          <w:bottom w:val="dashed" w:color="E0A800" w:sz="6" w:space="6"/>
          <w:left w:val="dashed" w:color="E0A800" w:sz="6" w:space="6"/>
          <w:right w:val="dashed" w:color="E0A800" w:sz="6" w:space="6"/>
        </w:pBdr>
        <w:shd w:fill="FFF3CD" w:val="clear"/>
        <w:spacing w:after="160" w:before="120"/>
        <w:jc w:val="center"/>
      </w:pPr>
      <w:r>
        <w:rPr>
          <w:b/>
          <w:bCs/>
          <w:color w:val="8a6d00"/>
          <w:sz w:val="22"/>
          <w:szCs w:val="22"/>
        </w:rPr>
        <w:t xml:space="preserve">[ COLE AQUI O PRINT 3 — Seção de IA: regiões críticas e tabela Top 10 ]</w:t>
      </w:r>
    </w:p>
    <w:p>
      <w:pPr>
        <w:pBdr>
          <w:top w:val="dashed" w:color="E0A800" w:sz="6" w:space="6"/>
          <w:bottom w:val="dashed" w:color="E0A800" w:sz="6" w:space="6"/>
          <w:left w:val="dashed" w:color="E0A800" w:sz="6" w:space="6"/>
          <w:right w:val="dashed" w:color="E0A800" w:sz="6" w:space="6"/>
        </w:pBdr>
        <w:shd w:fill="FFF3CD" w:val="clear"/>
        <w:spacing w:after="160" w:before="120"/>
        <w:jc w:val="center"/>
      </w:pPr>
      <w:r>
        <w:rPr>
          <w:b/>
          <w:bCs/>
          <w:color w:val="8a6d00"/>
          <w:sz w:val="22"/>
          <w:szCs w:val="22"/>
        </w:rPr>
        <w:t xml:space="preserve">[ COLE AQUI O PRINT 4 — Mapa das 10 regiões mais críticas ]</w:t>
      </w:r>
    </w:p>
    <w:p>
      <w:pPr>
        <w:pStyle w:val="Heading2"/>
      </w:pPr>
      <w:r>
        <w:t xml:space="preserve">2.6 Principais decisões técnicas</w:t>
      </w:r>
    </w:p>
    <w:p>
      <w:pPr>
        <w:pStyle w:val="ListParagraph"/>
        <w:numPr>
          <w:ilvl w:val="0"/>
          <w:numId w:val="2"/>
        </w:numPr>
        <w:spacing w:after="60"/>
      </w:pPr>
      <w:r>
        <w:t xml:space="preserve">Recorte na Amazônia Legal: região oficial onde se concentra o arco do desmatamento.</w:t>
      </w:r>
    </w:p>
    <w:p>
      <w:pPr>
        <w:pStyle w:val="ListParagraph"/>
        <w:numPr>
          <w:ilvl w:val="0"/>
          <w:numId w:val="2"/>
        </w:numPr>
        <w:spacing w:after="60"/>
      </w:pPr>
      <w:r>
        <w:t xml:space="preserve">Combinação de 3 satélites: aumenta o número de detecções e a confiabilidade.</w:t>
      </w:r>
    </w:p>
    <w:p>
      <w:pPr>
        <w:pStyle w:val="ListParagraph"/>
        <w:numPr>
          <w:ilvl w:val="0"/>
          <w:numId w:val="2"/>
        </w:numPr>
        <w:spacing w:after="60"/>
      </w:pPr>
      <w:r>
        <w:t xml:space="preserve">DBSCAN em vez de K-Means: não exige o número de grupos e separa o ruído.</w:t>
      </w:r>
    </w:p>
    <w:p>
      <w:pPr>
        <w:pStyle w:val="ListParagraph"/>
        <w:numPr>
          <w:ilvl w:val="0"/>
          <w:numId w:val="2"/>
        </w:numPr>
        <w:spacing w:after="60"/>
      </w:pPr>
      <w:r>
        <w:t xml:space="preserve">Severidade = focos × FRP: priorizar só por quantidade ignoraria incêndios pequenos mas muito intensos.</w:t>
      </w:r>
    </w:p>
    <w:p>
      <w:pPr>
        <w:pStyle w:val="Heading1"/>
      </w:pPr>
      <w:r>
        <w:t xml:space="preserve">3. Resultados</w:t>
      </w:r>
    </w:p>
    <w:p>
      <w:pPr>
        <w:spacing w:after="120"/>
      </w:pPr>
      <w:r>
        <w:t xml:space="preserve">Com os dados reais dos últimos 5 dias de observação na Amazônia Legal, a aplicação processou mais de 10.000 focos de calor e identificou automaticamente as regiões críticas, ordenadas por severidade.</w:t>
      </w:r>
    </w:p>
    <w:p>
      <w:pPr>
        <w:spacing w:after="120"/>
      </w:pPr>
      <w:r>
        <w:t xml:space="preserve">Um resultado importante e não óbvio apareceu na análise: nesta época do ano (junho, início da seca), os focos não se concentram no núcleo verde da floresta, mas sim no arco do desmatamento (sul do Pará, Mato Grosso, Rondônia, Tocantins) e na transição com o Cerrado. O pico de queimadas na floresta ocorre entre agosto e outubro. Isso reforça o valor de um sistema de monitoramento contínuo ao longo do ano.</w:t>
      </w:r>
    </w:p>
    <w:p>
      <w:pPr>
        <w:spacing w:after="120"/>
      </w:pPr>
      <w:r>
        <w:t xml:space="preserve">Resultados esperados / impacto:</w:t>
      </w:r>
    </w:p>
    <w:p>
      <w:pPr>
        <w:pStyle w:val="ListParagraph"/>
        <w:numPr>
          <w:ilvl w:val="0"/>
          <w:numId w:val="2"/>
        </w:numPr>
        <w:spacing w:after="60"/>
      </w:pPr>
      <w:r>
        <w:t xml:space="preserve">Reduzir o tempo entre a detecção do fogo e a decisão de combate.</w:t>
      </w:r>
    </w:p>
    <w:p>
      <w:pPr>
        <w:pStyle w:val="ListParagraph"/>
        <w:numPr>
          <w:ilvl w:val="0"/>
          <w:numId w:val="2"/>
        </w:numPr>
        <w:spacing w:after="60"/>
      </w:pPr>
      <w:r>
        <w:t xml:space="preserve">Direcionar recursos limitados (brigadas, fiscalização) para onde o impacto é maior.</w:t>
      </w:r>
    </w:p>
    <w:p>
      <w:pPr>
        <w:pStyle w:val="ListParagraph"/>
        <w:numPr>
          <w:ilvl w:val="0"/>
          <w:numId w:val="2"/>
        </w:numPr>
        <w:spacing w:after="60"/>
      </w:pPr>
      <w:r>
        <w:t xml:space="preserve">Servir de base para evoluções futuras, como previsão de risco de fogo.</w:t>
      </w:r>
    </w:p>
    <w:p>
      <w:pPr>
        <w:pStyle w:val="Heading1"/>
      </w:pPr>
      <w:r>
        <w:t xml:space="preserve">4. Conclusões</w:t>
      </w:r>
    </w:p>
    <w:p>
      <w:pPr>
        <w:spacing w:after="120"/>
      </w:pPr>
      <w:r>
        <w:t xml:space="preserve">O Sentinela Amazônia mostra, na prática, como a economia espacial gera impacto positivo na Terra: dados gerados por satélites no espaço, combinados com Inteligência Artificial, viram uma ferramenta concreta de apoio ao combate às queimadas.</w:t>
      </w:r>
    </w:p>
    <w:p>
      <w:pPr>
        <w:spacing w:after="120"/>
      </w:pPr>
      <w:r>
        <w:t xml:space="preserve">A POC cumpre o que se propôs: coleta dados reais de satélite, apresenta um dashboard interativo e usa aprendizado de máquina (DBSCAN) para transformar milhares de pontos em uma lista priorizada de regiões críticas.</w:t>
      </w:r>
    </w:p>
    <w:p>
      <w:pPr>
        <w:spacing w:after="120"/>
      </w:pPr>
      <w:r>
        <w:t xml:space="preserve">Limitações:</w:t>
      </w:r>
    </w:p>
    <w:p>
      <w:pPr>
        <w:pStyle w:val="ListParagraph"/>
        <w:numPr>
          <w:ilvl w:val="0"/>
          <w:numId w:val="2"/>
        </w:numPr>
        <w:spacing w:after="60"/>
      </w:pPr>
      <w:r>
        <w:t xml:space="preserve">A API em tempo quase real fornece no máximo 5 dias de histórico.</w:t>
      </w:r>
    </w:p>
    <w:p>
      <w:pPr>
        <w:pStyle w:val="ListParagraph"/>
        <w:numPr>
          <w:ilvl w:val="0"/>
          <w:numId w:val="2"/>
        </w:numPr>
        <w:spacing w:after="60"/>
      </w:pPr>
      <w:r>
        <w:t xml:space="preserve">Foco de calor não é exatamente queimada confirmada — o satélite detecta anomalias térmicas.</w:t>
      </w:r>
    </w:p>
    <w:p>
      <w:pPr>
        <w:spacing w:after="120"/>
      </w:pPr>
      <w:r>
        <w:t xml:space="preserve">Próximos passos:</w:t>
      </w:r>
    </w:p>
    <w:p>
      <w:pPr>
        <w:pStyle w:val="ListParagraph"/>
        <w:numPr>
          <w:ilvl w:val="0"/>
          <w:numId w:val="2"/>
        </w:numPr>
        <w:spacing w:after="60"/>
      </w:pPr>
      <w:r>
        <w:t xml:space="preserve">Integrar dados climáticos para prever risco de fogo (não só monitorar).</w:t>
      </w:r>
    </w:p>
    <w:p>
      <w:pPr>
        <w:pStyle w:val="ListParagraph"/>
        <w:numPr>
          <w:ilvl w:val="0"/>
          <w:numId w:val="2"/>
        </w:numPr>
        <w:spacing w:after="60"/>
      </w:pPr>
      <w:r>
        <w:t xml:space="preserve">Adicionar séries históricas para análises sazonais.</w:t>
      </w:r>
    </w:p>
    <w:p>
      <w:pPr>
        <w:pStyle w:val="ListParagraph"/>
        <w:numPr>
          <w:ilvl w:val="0"/>
          <w:numId w:val="2"/>
        </w:numPr>
        <w:spacing w:after="60"/>
      </w:pPr>
      <w:r>
        <w:t xml:space="preserve">Publicar a aplicação na nuvem (Streamlit Cloud ou AWS).</w:t>
      </w:r>
    </w:p>
    <w:p>
      <w:pPr>
        <w:pStyle w:val="Heading1"/>
      </w:pPr>
      <w:r>
        <w:t xml:space="preserve">5. Links</w:t>
      </w:r>
    </w:p>
    <w:p>
      <w:pPr>
        <w:spacing w:after="120"/>
      </w:pPr>
      <w:r>
        <w:rPr>
          <w:b/>
          <w:bCs/>
        </w:rPr>
        <w:t xml:space="preserve">Vídeo demonstrativo (YouTube, não listado): </w:t>
      </w:r>
      <w:r>
        <w:t xml:space="preserve">INSERIR_LINK_AQUI</w:t>
      </w:r>
    </w:p>
    <w:p>
      <w:pPr>
        <w:spacing w:after="120"/>
      </w:pPr>
      <w:r>
        <w:rPr>
          <w:b/>
          <w:bCs/>
        </w:rPr>
        <w:t xml:space="preserve">Repositório do projeto: </w:t>
      </w:r>
      <w:r>
        <w:t xml:space="preserve">INSERIR_LINK_AQUI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2C"/>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D3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ec3bfdc0462da15efd1d31a034cbb98c92dccb.png"/><Relationship Id="rId8" Type="http://schemas.openxmlformats.org/officeDocument/2006/relationships/image" Target="media/d395b2c0da9b745b734d72a05a95d568af92275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2026-06-16T01:27:52.715Z</dcterms:created>
  <dcterms:modified xsi:type="dcterms:W3CDTF">2026-06-16T01:27:52.720Z</dcterms:modified>
</cp:coreProperties>
</file>

<file path=docProps/custom.xml><?xml version="1.0" encoding="utf-8"?>
<Properties xmlns="http://schemas.openxmlformats.org/officeDocument/2006/custom-properties" xmlns:vt="http://schemas.openxmlformats.org/officeDocument/2006/docPropsVTypes"/>
</file>