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Documento de Especificação de Restrições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Carga Horária Mínima Semanal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cada distribuição é necessário que os docentes efetivos cumpram uma carga horária mínima de 8 horas semanais durante o ano. No caso de docentes que ocupem cargos de direção, não há uma carga horária mínima a ser atentida.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cargos de direção são os seguintes: Diretor do Instituto de Informática, Vice-Diretor do Instituto de Informática, Coordenador de Cuso de Graduação, Coordenador de Curso de Pós-Graduação.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32"/>
          <w:szCs w:val="32"/>
          <w:rtl w:val="0"/>
        </w:rPr>
        <w:t xml:space="preserve"> 2. Situação de afastamento para capacitação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Docentes que se encontrem na situação de afastamento para capacitação (doutorado, pós-doutorado, etc) estão isentos do cumprimento da carga horária mínima na distribuição.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