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511C" w14:textId="34CE6950" w:rsidR="002A0546" w:rsidRDefault="002A0546" w:rsidP="002A0546">
      <w:pPr>
        <w:jc w:val="center"/>
        <w:rPr>
          <w:b/>
          <w:bCs/>
          <w:sz w:val="36"/>
          <w:szCs w:val="36"/>
        </w:rPr>
      </w:pPr>
      <w:r w:rsidRPr="002A0546">
        <w:rPr>
          <w:b/>
          <w:bCs/>
          <w:sz w:val="36"/>
          <w:szCs w:val="36"/>
        </w:rPr>
        <w:t>Data 620 - Week 4</w:t>
      </w:r>
      <w:r w:rsidR="00A14FF6">
        <w:rPr>
          <w:b/>
          <w:bCs/>
          <w:sz w:val="36"/>
          <w:szCs w:val="36"/>
        </w:rPr>
        <w:t>:</w:t>
      </w:r>
      <w:r w:rsidRPr="002A0546">
        <w:rPr>
          <w:b/>
          <w:bCs/>
          <w:sz w:val="36"/>
          <w:szCs w:val="36"/>
        </w:rPr>
        <w:t xml:space="preserve"> Project 1 Proposal</w:t>
      </w:r>
    </w:p>
    <w:p w14:paraId="6DAAE2F3" w14:textId="15389BC1" w:rsidR="00BA0B5F" w:rsidRPr="002A0546" w:rsidRDefault="00BA0B5F" w:rsidP="002A0546">
      <w:pPr>
        <w:jc w:val="center"/>
        <w:rPr>
          <w:b/>
          <w:bCs/>
          <w:sz w:val="36"/>
          <w:szCs w:val="36"/>
        </w:rPr>
      </w:pPr>
      <w:r>
        <w:rPr>
          <w:b/>
          <w:bCs/>
          <w:sz w:val="36"/>
          <w:szCs w:val="36"/>
        </w:rPr>
        <w:t>Centrality Measures: Facebook Network</w:t>
      </w:r>
    </w:p>
    <w:p w14:paraId="46A16F32" w14:textId="3F41B7F8" w:rsidR="002A0546" w:rsidRPr="002A0546" w:rsidRDefault="002A0546" w:rsidP="002A0546">
      <w:pPr>
        <w:jc w:val="center"/>
        <w:rPr>
          <w:b/>
          <w:bCs/>
          <w:sz w:val="36"/>
          <w:szCs w:val="36"/>
        </w:rPr>
      </w:pPr>
      <w:r w:rsidRPr="002A0546">
        <w:rPr>
          <w:b/>
          <w:bCs/>
          <w:sz w:val="36"/>
          <w:szCs w:val="36"/>
        </w:rPr>
        <w:t>Bikram Bar</w:t>
      </w:r>
      <w:r w:rsidR="00A14FF6">
        <w:rPr>
          <w:b/>
          <w:bCs/>
          <w:sz w:val="36"/>
          <w:szCs w:val="36"/>
        </w:rPr>
        <w:t>u</w:t>
      </w:r>
      <w:r w:rsidRPr="002A0546">
        <w:rPr>
          <w:b/>
          <w:bCs/>
          <w:sz w:val="36"/>
          <w:szCs w:val="36"/>
        </w:rPr>
        <w:t>a and Leticia Salazar</w:t>
      </w:r>
    </w:p>
    <w:p w14:paraId="3A33AAB4" w14:textId="77777777" w:rsidR="002A0546" w:rsidRPr="002A0546" w:rsidRDefault="002A0546" w:rsidP="002A0546">
      <w:pPr>
        <w:jc w:val="center"/>
        <w:rPr>
          <w:b/>
          <w:bCs/>
          <w:sz w:val="36"/>
          <w:szCs w:val="36"/>
        </w:rPr>
      </w:pPr>
      <w:r w:rsidRPr="002A0546">
        <w:rPr>
          <w:b/>
          <w:bCs/>
          <w:sz w:val="36"/>
          <w:szCs w:val="36"/>
        </w:rPr>
        <w:t>February 19, 2023</w:t>
      </w:r>
    </w:p>
    <w:p w14:paraId="6B28978D" w14:textId="77777777" w:rsidR="002A0546" w:rsidRDefault="002A0546" w:rsidP="002A0546"/>
    <w:p w14:paraId="0F4AE61A" w14:textId="77777777" w:rsidR="002A0546" w:rsidRDefault="002A0546" w:rsidP="002A0546"/>
    <w:p w14:paraId="476A19E2" w14:textId="77777777" w:rsidR="002A0546" w:rsidRPr="007B3287" w:rsidRDefault="002A0546" w:rsidP="002A0546">
      <w:pPr>
        <w:rPr>
          <w:b/>
          <w:bCs/>
          <w:u w:val="single"/>
        </w:rPr>
      </w:pPr>
      <w:r w:rsidRPr="007B3287">
        <w:rPr>
          <w:b/>
          <w:bCs/>
          <w:u w:val="single"/>
        </w:rPr>
        <w:t xml:space="preserve">Task: </w:t>
      </w:r>
    </w:p>
    <w:p w14:paraId="4C6FD3E9" w14:textId="77777777" w:rsidR="002A0546" w:rsidRDefault="002A0546" w:rsidP="002A0546"/>
    <w:p w14:paraId="79215F31" w14:textId="77777777" w:rsidR="002A0546" w:rsidRDefault="002A0546" w:rsidP="002A0546">
      <w:r>
        <w:t>Centrality measures can be used to predict (positive or negative) outcomes for a node.</w:t>
      </w:r>
    </w:p>
    <w:p w14:paraId="104DDAEE" w14:textId="77777777" w:rsidR="002A0546" w:rsidRDefault="002A0546" w:rsidP="002A0546">
      <w: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51465395" w14:textId="77777777" w:rsidR="002A0546" w:rsidRDefault="002A0546" w:rsidP="002A0546"/>
    <w:p w14:paraId="15D4A751" w14:textId="1FE5E31B" w:rsidR="002A0546" w:rsidRDefault="002A0546" w:rsidP="002A0546">
      <w:r>
        <w:t xml:space="preserve">In addition to identifying your data source, you should create a </w:t>
      </w:r>
      <w:proofErr w:type="gramStart"/>
      <w:r>
        <w:t>high level</w:t>
      </w:r>
      <w:proofErr w:type="gramEnd"/>
      <w:r>
        <w:t xml:space="preserve"> plan that describes how you would load the data for analysis, and describe a hypothetical outcome that could be predicted from comparing degree centrality across categorical groups. </w:t>
      </w:r>
    </w:p>
    <w:p w14:paraId="1A239383" w14:textId="77777777" w:rsidR="002A0546" w:rsidRDefault="002A0546" w:rsidP="002A0546"/>
    <w:p w14:paraId="3B994A8D" w14:textId="77777777" w:rsidR="002A0546" w:rsidRDefault="002A0546" w:rsidP="002A0546"/>
    <w:p w14:paraId="02CDDCC4" w14:textId="77777777" w:rsidR="002A0546" w:rsidRPr="00966514" w:rsidRDefault="002A0546" w:rsidP="002A0546">
      <w:pPr>
        <w:rPr>
          <w:b/>
          <w:bCs/>
          <w:u w:val="single"/>
        </w:rPr>
      </w:pPr>
      <w:r w:rsidRPr="00966514">
        <w:rPr>
          <w:b/>
          <w:bCs/>
          <w:u w:val="single"/>
        </w:rPr>
        <w:t>Data:</w:t>
      </w:r>
    </w:p>
    <w:p w14:paraId="2E9B0101" w14:textId="77777777" w:rsidR="002A0546" w:rsidRDefault="002A0546" w:rsidP="002A0546"/>
    <w:p w14:paraId="71569F1A" w14:textId="3AEFF66B" w:rsidR="00314715" w:rsidRDefault="002A0546">
      <w:r>
        <w:t xml:space="preserve">The dataset selected for project 1 was obtained from </w:t>
      </w:r>
      <w:hyperlink r:id="rId5" w:history="1">
        <w:r w:rsidRPr="007B3287">
          <w:rPr>
            <w:rStyle w:val="Hyperlink"/>
          </w:rPr>
          <w:t>Network Repository</w:t>
        </w:r>
      </w:hyperlink>
      <w:r w:rsidR="00F36118">
        <w:t xml:space="preserve"> consisting of people (nodes) and their friendship ties (edges) on Facebook.</w:t>
      </w:r>
      <w:r w:rsidR="007B3287">
        <w:t xml:space="preserve"> </w:t>
      </w:r>
      <w:r w:rsidR="00F36118">
        <w:t>The data is available in a matrix market, typically a sparse format used to represent a matrix (.</w:t>
      </w:r>
      <w:proofErr w:type="spellStart"/>
      <w:r w:rsidR="00F36118">
        <w:t>mtx</w:t>
      </w:r>
      <w:proofErr w:type="spellEnd"/>
      <w:r w:rsidR="00F36118">
        <w:t xml:space="preserve"> file). With these types of files, the first line contains a header with information about the matrix, dimensions, and symmetry of the matrix. The following lines are non-zero entries of the matrix in row-major order, with each following line containing the row index, column index, and a value of a single non-zero entry.</w:t>
      </w:r>
    </w:p>
    <w:p w14:paraId="46C347E0" w14:textId="4CA94905" w:rsidR="00BA0B5F" w:rsidRDefault="00BA0B5F"/>
    <w:p w14:paraId="15632D32" w14:textId="656719EB" w:rsidR="00BA0B5F" w:rsidRDefault="00BA0B5F">
      <w:r>
        <w:t>Below are some specs from this dataset provided by the repository:</w:t>
      </w:r>
    </w:p>
    <w:tbl>
      <w:tblPr>
        <w:tblW w:w="6833" w:type="dxa"/>
        <w:tblCellMar>
          <w:top w:w="15" w:type="dxa"/>
          <w:left w:w="15" w:type="dxa"/>
          <w:bottom w:w="15" w:type="dxa"/>
          <w:right w:w="15" w:type="dxa"/>
        </w:tblCellMar>
        <w:tblLook w:val="04A0" w:firstRow="1" w:lastRow="0" w:firstColumn="1" w:lastColumn="0" w:noHBand="0" w:noVBand="1"/>
        <w:tblDescription w:val="Network data statistics"/>
      </w:tblPr>
      <w:tblGrid>
        <w:gridCol w:w="4893"/>
        <w:gridCol w:w="1940"/>
      </w:tblGrid>
      <w:tr w:rsidR="00BA0B5F" w14:paraId="069B7717" w14:textId="77777777" w:rsidTr="00BA0B5F">
        <w:tc>
          <w:tcPr>
            <w:tcW w:w="0" w:type="auto"/>
            <w:tcBorders>
              <w:top w:val="nil"/>
            </w:tcBorders>
            <w:shd w:val="clear" w:color="auto" w:fill="F5F5F5"/>
            <w:tcMar>
              <w:top w:w="120" w:type="dxa"/>
              <w:left w:w="120" w:type="dxa"/>
              <w:bottom w:w="120" w:type="dxa"/>
              <w:right w:w="120" w:type="dxa"/>
            </w:tcMar>
            <w:hideMark/>
          </w:tcPr>
          <w:p w14:paraId="6ABEE39F" w14:textId="77777777" w:rsidR="00BA0B5F" w:rsidRDefault="00BA0B5F">
            <w:pPr>
              <w:rPr>
                <w:rFonts w:ascii="ProximaNova" w:hAnsi="ProximaNova"/>
                <w:color w:val="333333"/>
                <w:sz w:val="20"/>
                <w:szCs w:val="20"/>
              </w:rPr>
            </w:pPr>
            <w:r>
              <w:rPr>
                <w:rFonts w:ascii="ProximaNova" w:hAnsi="ProximaNova"/>
                <w:b/>
                <w:bCs/>
                <w:color w:val="333333"/>
                <w:sz w:val="20"/>
                <w:szCs w:val="20"/>
              </w:rPr>
              <w:t>Nodes</w:t>
            </w:r>
          </w:p>
        </w:tc>
        <w:tc>
          <w:tcPr>
            <w:tcW w:w="0" w:type="auto"/>
            <w:tcBorders>
              <w:top w:val="nil"/>
            </w:tcBorders>
            <w:shd w:val="clear" w:color="auto" w:fill="F5F5F5"/>
            <w:tcMar>
              <w:top w:w="120" w:type="dxa"/>
              <w:left w:w="120" w:type="dxa"/>
              <w:bottom w:w="120" w:type="dxa"/>
              <w:right w:w="120" w:type="dxa"/>
            </w:tcMar>
            <w:hideMark/>
          </w:tcPr>
          <w:p w14:paraId="382F389B" w14:textId="77777777" w:rsidR="00BA0B5F" w:rsidRDefault="00BA0B5F">
            <w:pPr>
              <w:rPr>
                <w:rFonts w:ascii="ProximaNova" w:hAnsi="ProximaNova"/>
                <w:color w:val="333333"/>
                <w:sz w:val="20"/>
                <w:szCs w:val="20"/>
              </w:rPr>
            </w:pPr>
            <w:r>
              <w:rPr>
                <w:rFonts w:ascii="ProximaNova" w:hAnsi="ProximaNova"/>
                <w:color w:val="333333"/>
                <w:sz w:val="20"/>
                <w:szCs w:val="20"/>
              </w:rPr>
              <w:t>18.7K</w:t>
            </w:r>
          </w:p>
        </w:tc>
      </w:tr>
      <w:tr w:rsidR="00BA0B5F" w14:paraId="308BC5F3" w14:textId="77777777" w:rsidTr="00BA0B5F">
        <w:tc>
          <w:tcPr>
            <w:tcW w:w="0" w:type="auto"/>
            <w:tcBorders>
              <w:top w:val="nil"/>
            </w:tcBorders>
            <w:shd w:val="clear" w:color="auto" w:fill="F5F5F5"/>
            <w:tcMar>
              <w:top w:w="120" w:type="dxa"/>
              <w:left w:w="120" w:type="dxa"/>
              <w:bottom w:w="120" w:type="dxa"/>
              <w:right w:w="120" w:type="dxa"/>
            </w:tcMar>
            <w:hideMark/>
          </w:tcPr>
          <w:p w14:paraId="15346C99" w14:textId="77777777" w:rsidR="00BA0B5F" w:rsidRDefault="00BA0B5F">
            <w:pPr>
              <w:rPr>
                <w:rFonts w:ascii="ProximaNova" w:hAnsi="ProximaNova"/>
                <w:color w:val="333333"/>
                <w:sz w:val="20"/>
                <w:szCs w:val="20"/>
              </w:rPr>
            </w:pPr>
            <w:r>
              <w:rPr>
                <w:rFonts w:ascii="ProximaNova" w:hAnsi="ProximaNova"/>
                <w:b/>
                <w:bCs/>
                <w:color w:val="333333"/>
                <w:sz w:val="20"/>
                <w:szCs w:val="20"/>
              </w:rPr>
              <w:t>Edges</w:t>
            </w:r>
          </w:p>
        </w:tc>
        <w:tc>
          <w:tcPr>
            <w:tcW w:w="0" w:type="auto"/>
            <w:tcBorders>
              <w:top w:val="nil"/>
            </w:tcBorders>
            <w:shd w:val="clear" w:color="auto" w:fill="F5F5F5"/>
            <w:tcMar>
              <w:top w:w="120" w:type="dxa"/>
              <w:left w:w="120" w:type="dxa"/>
              <w:bottom w:w="120" w:type="dxa"/>
              <w:right w:w="120" w:type="dxa"/>
            </w:tcMar>
            <w:hideMark/>
          </w:tcPr>
          <w:p w14:paraId="1736E8C0" w14:textId="77777777" w:rsidR="00BA0B5F" w:rsidRDefault="00BA0B5F">
            <w:pPr>
              <w:rPr>
                <w:rFonts w:ascii="ProximaNova" w:hAnsi="ProximaNova"/>
                <w:color w:val="333333"/>
                <w:sz w:val="20"/>
                <w:szCs w:val="20"/>
              </w:rPr>
            </w:pPr>
            <w:r>
              <w:rPr>
                <w:rFonts w:ascii="ProximaNova" w:hAnsi="ProximaNova"/>
                <w:color w:val="333333"/>
                <w:sz w:val="20"/>
                <w:szCs w:val="20"/>
              </w:rPr>
              <w:t>790.8K</w:t>
            </w:r>
          </w:p>
        </w:tc>
      </w:tr>
      <w:tr w:rsidR="00BA0B5F" w14:paraId="42730E82" w14:textId="77777777" w:rsidTr="00BA0B5F">
        <w:tc>
          <w:tcPr>
            <w:tcW w:w="0" w:type="auto"/>
            <w:tcBorders>
              <w:top w:val="nil"/>
            </w:tcBorders>
            <w:shd w:val="clear" w:color="auto" w:fill="F5F5F5"/>
            <w:tcMar>
              <w:top w:w="120" w:type="dxa"/>
              <w:left w:w="120" w:type="dxa"/>
              <w:bottom w:w="120" w:type="dxa"/>
              <w:right w:w="120" w:type="dxa"/>
            </w:tcMar>
            <w:hideMark/>
          </w:tcPr>
          <w:p w14:paraId="7D35B797" w14:textId="77777777" w:rsidR="00BA0B5F" w:rsidRDefault="00BA0B5F">
            <w:pPr>
              <w:rPr>
                <w:rFonts w:ascii="ProximaNova" w:hAnsi="ProximaNova"/>
                <w:color w:val="333333"/>
                <w:sz w:val="20"/>
                <w:szCs w:val="20"/>
              </w:rPr>
            </w:pPr>
            <w:r>
              <w:rPr>
                <w:rFonts w:ascii="ProximaNova" w:hAnsi="ProximaNova"/>
                <w:b/>
                <w:bCs/>
                <w:color w:val="333333"/>
                <w:sz w:val="20"/>
                <w:szCs w:val="20"/>
              </w:rPr>
              <w:t>Density</w:t>
            </w:r>
          </w:p>
        </w:tc>
        <w:tc>
          <w:tcPr>
            <w:tcW w:w="0" w:type="auto"/>
            <w:tcBorders>
              <w:top w:val="nil"/>
            </w:tcBorders>
            <w:shd w:val="clear" w:color="auto" w:fill="F5F5F5"/>
            <w:tcMar>
              <w:top w:w="120" w:type="dxa"/>
              <w:left w:w="120" w:type="dxa"/>
              <w:bottom w:w="120" w:type="dxa"/>
              <w:right w:w="120" w:type="dxa"/>
            </w:tcMar>
            <w:hideMark/>
          </w:tcPr>
          <w:p w14:paraId="10D12487" w14:textId="77777777" w:rsidR="00BA0B5F" w:rsidRDefault="00BA0B5F">
            <w:pPr>
              <w:rPr>
                <w:rFonts w:ascii="ProximaNova" w:hAnsi="ProximaNova"/>
                <w:color w:val="333333"/>
                <w:sz w:val="20"/>
                <w:szCs w:val="20"/>
              </w:rPr>
            </w:pPr>
            <w:r>
              <w:rPr>
                <w:rFonts w:ascii="ProximaNova" w:hAnsi="ProximaNova"/>
                <w:color w:val="333333"/>
                <w:sz w:val="20"/>
                <w:szCs w:val="20"/>
              </w:rPr>
              <w:t>0.00454239</w:t>
            </w:r>
          </w:p>
        </w:tc>
      </w:tr>
      <w:tr w:rsidR="00BA0B5F" w14:paraId="5BB550A4" w14:textId="77777777" w:rsidTr="00BA0B5F">
        <w:tc>
          <w:tcPr>
            <w:tcW w:w="0" w:type="auto"/>
            <w:tcBorders>
              <w:top w:val="nil"/>
            </w:tcBorders>
            <w:shd w:val="clear" w:color="auto" w:fill="F5F5F5"/>
            <w:tcMar>
              <w:top w:w="120" w:type="dxa"/>
              <w:left w:w="120" w:type="dxa"/>
              <w:bottom w:w="120" w:type="dxa"/>
              <w:right w:w="120" w:type="dxa"/>
            </w:tcMar>
            <w:hideMark/>
          </w:tcPr>
          <w:p w14:paraId="5300654C" w14:textId="77777777" w:rsidR="00BA0B5F" w:rsidRDefault="00BA0B5F">
            <w:pPr>
              <w:rPr>
                <w:rFonts w:ascii="ProximaNova" w:hAnsi="ProximaNova"/>
                <w:color w:val="333333"/>
                <w:sz w:val="20"/>
                <w:szCs w:val="20"/>
              </w:rPr>
            </w:pPr>
            <w:r>
              <w:rPr>
                <w:rFonts w:ascii="ProximaNova" w:hAnsi="ProximaNova"/>
                <w:b/>
                <w:bCs/>
                <w:color w:val="333333"/>
                <w:sz w:val="20"/>
                <w:szCs w:val="20"/>
              </w:rPr>
              <w:t>Maximum degree</w:t>
            </w:r>
          </w:p>
        </w:tc>
        <w:tc>
          <w:tcPr>
            <w:tcW w:w="0" w:type="auto"/>
            <w:tcBorders>
              <w:top w:val="nil"/>
            </w:tcBorders>
            <w:shd w:val="clear" w:color="auto" w:fill="F5F5F5"/>
            <w:tcMar>
              <w:top w:w="120" w:type="dxa"/>
              <w:left w:w="120" w:type="dxa"/>
              <w:bottom w:w="120" w:type="dxa"/>
              <w:right w:w="120" w:type="dxa"/>
            </w:tcMar>
            <w:hideMark/>
          </w:tcPr>
          <w:p w14:paraId="513AE6CE" w14:textId="77777777" w:rsidR="00BA0B5F" w:rsidRDefault="00BA0B5F">
            <w:pPr>
              <w:rPr>
                <w:rFonts w:ascii="ProximaNova" w:hAnsi="ProximaNova"/>
                <w:color w:val="333333"/>
                <w:sz w:val="20"/>
                <w:szCs w:val="20"/>
              </w:rPr>
            </w:pPr>
            <w:r>
              <w:rPr>
                <w:rFonts w:ascii="ProximaNova" w:hAnsi="ProximaNova"/>
                <w:color w:val="333333"/>
                <w:sz w:val="20"/>
                <w:szCs w:val="20"/>
              </w:rPr>
              <w:t>3.2K</w:t>
            </w:r>
          </w:p>
        </w:tc>
      </w:tr>
      <w:tr w:rsidR="00BA0B5F" w14:paraId="532B6FF2" w14:textId="77777777" w:rsidTr="00BA0B5F">
        <w:tc>
          <w:tcPr>
            <w:tcW w:w="0" w:type="auto"/>
            <w:tcBorders>
              <w:top w:val="nil"/>
            </w:tcBorders>
            <w:shd w:val="clear" w:color="auto" w:fill="F5F5F5"/>
            <w:tcMar>
              <w:top w:w="120" w:type="dxa"/>
              <w:left w:w="120" w:type="dxa"/>
              <w:bottom w:w="120" w:type="dxa"/>
              <w:right w:w="120" w:type="dxa"/>
            </w:tcMar>
            <w:hideMark/>
          </w:tcPr>
          <w:p w14:paraId="55E37B51" w14:textId="77777777" w:rsidR="00BA0B5F" w:rsidRDefault="00BA0B5F">
            <w:pPr>
              <w:rPr>
                <w:rFonts w:ascii="ProximaNova" w:hAnsi="ProximaNova"/>
                <w:color w:val="333333"/>
                <w:sz w:val="20"/>
                <w:szCs w:val="20"/>
              </w:rPr>
            </w:pPr>
            <w:r>
              <w:rPr>
                <w:rFonts w:ascii="ProximaNova" w:hAnsi="ProximaNova"/>
                <w:b/>
                <w:bCs/>
                <w:color w:val="333333"/>
                <w:sz w:val="20"/>
                <w:szCs w:val="20"/>
              </w:rPr>
              <w:t>Minimum degree</w:t>
            </w:r>
          </w:p>
        </w:tc>
        <w:tc>
          <w:tcPr>
            <w:tcW w:w="0" w:type="auto"/>
            <w:tcBorders>
              <w:top w:val="nil"/>
            </w:tcBorders>
            <w:shd w:val="clear" w:color="auto" w:fill="F5F5F5"/>
            <w:tcMar>
              <w:top w:w="120" w:type="dxa"/>
              <w:left w:w="120" w:type="dxa"/>
              <w:bottom w:w="120" w:type="dxa"/>
              <w:right w:w="120" w:type="dxa"/>
            </w:tcMar>
            <w:hideMark/>
          </w:tcPr>
          <w:p w14:paraId="12FEC72B" w14:textId="77777777" w:rsidR="00BA0B5F" w:rsidRDefault="00BA0B5F">
            <w:pPr>
              <w:rPr>
                <w:rFonts w:ascii="ProximaNova" w:hAnsi="ProximaNova"/>
                <w:color w:val="333333"/>
                <w:sz w:val="20"/>
                <w:szCs w:val="20"/>
              </w:rPr>
            </w:pPr>
            <w:r>
              <w:rPr>
                <w:rFonts w:ascii="ProximaNova" w:hAnsi="ProximaNova"/>
                <w:color w:val="333333"/>
                <w:sz w:val="20"/>
                <w:szCs w:val="20"/>
              </w:rPr>
              <w:t>1</w:t>
            </w:r>
          </w:p>
        </w:tc>
      </w:tr>
      <w:tr w:rsidR="00BA0B5F" w14:paraId="6F9C53AE" w14:textId="77777777" w:rsidTr="00BA0B5F">
        <w:tc>
          <w:tcPr>
            <w:tcW w:w="0" w:type="auto"/>
            <w:tcBorders>
              <w:top w:val="nil"/>
            </w:tcBorders>
            <w:shd w:val="clear" w:color="auto" w:fill="F5F5F5"/>
            <w:tcMar>
              <w:top w:w="120" w:type="dxa"/>
              <w:left w:w="120" w:type="dxa"/>
              <w:bottom w:w="120" w:type="dxa"/>
              <w:right w:w="120" w:type="dxa"/>
            </w:tcMar>
            <w:hideMark/>
          </w:tcPr>
          <w:p w14:paraId="44728103" w14:textId="77777777" w:rsidR="00BA0B5F" w:rsidRDefault="00BA0B5F">
            <w:pPr>
              <w:rPr>
                <w:rFonts w:ascii="ProximaNova" w:hAnsi="ProximaNova"/>
                <w:color w:val="333333"/>
                <w:sz w:val="20"/>
                <w:szCs w:val="20"/>
              </w:rPr>
            </w:pPr>
            <w:r>
              <w:rPr>
                <w:rFonts w:ascii="ProximaNova" w:hAnsi="ProximaNova"/>
                <w:b/>
                <w:bCs/>
                <w:color w:val="333333"/>
                <w:sz w:val="20"/>
                <w:szCs w:val="20"/>
              </w:rPr>
              <w:t>Average degree</w:t>
            </w:r>
          </w:p>
        </w:tc>
        <w:tc>
          <w:tcPr>
            <w:tcW w:w="0" w:type="auto"/>
            <w:tcBorders>
              <w:top w:val="nil"/>
            </w:tcBorders>
            <w:shd w:val="clear" w:color="auto" w:fill="F5F5F5"/>
            <w:tcMar>
              <w:top w:w="120" w:type="dxa"/>
              <w:left w:w="120" w:type="dxa"/>
              <w:bottom w:w="120" w:type="dxa"/>
              <w:right w:w="120" w:type="dxa"/>
            </w:tcMar>
            <w:hideMark/>
          </w:tcPr>
          <w:p w14:paraId="77CC31B8" w14:textId="77777777" w:rsidR="00BA0B5F" w:rsidRDefault="00BA0B5F">
            <w:pPr>
              <w:rPr>
                <w:rFonts w:ascii="ProximaNova" w:hAnsi="ProximaNova"/>
                <w:color w:val="333333"/>
                <w:sz w:val="20"/>
                <w:szCs w:val="20"/>
              </w:rPr>
            </w:pPr>
            <w:r>
              <w:rPr>
                <w:rFonts w:ascii="ProximaNova" w:hAnsi="ProximaNova"/>
                <w:color w:val="333333"/>
                <w:sz w:val="20"/>
                <w:szCs w:val="20"/>
              </w:rPr>
              <w:t>84</w:t>
            </w:r>
          </w:p>
        </w:tc>
      </w:tr>
      <w:tr w:rsidR="00BA0B5F" w14:paraId="25887E08" w14:textId="77777777" w:rsidTr="00BA0B5F">
        <w:tc>
          <w:tcPr>
            <w:tcW w:w="0" w:type="auto"/>
            <w:tcBorders>
              <w:top w:val="nil"/>
            </w:tcBorders>
            <w:shd w:val="clear" w:color="auto" w:fill="F5F5F5"/>
            <w:tcMar>
              <w:top w:w="120" w:type="dxa"/>
              <w:left w:w="120" w:type="dxa"/>
              <w:bottom w:w="120" w:type="dxa"/>
              <w:right w:w="120" w:type="dxa"/>
            </w:tcMar>
            <w:hideMark/>
          </w:tcPr>
          <w:p w14:paraId="5B433385" w14:textId="77777777" w:rsidR="00BA0B5F" w:rsidRDefault="00000000">
            <w:pPr>
              <w:rPr>
                <w:rFonts w:ascii="ProximaNova" w:hAnsi="ProximaNova"/>
                <w:color w:val="333333"/>
                <w:sz w:val="20"/>
                <w:szCs w:val="20"/>
              </w:rPr>
            </w:pPr>
            <w:hyperlink r:id="rId6" w:history="1">
              <w:proofErr w:type="spellStart"/>
              <w:r w:rsidR="00BA0B5F">
                <w:rPr>
                  <w:rStyle w:val="Hyperlink"/>
                  <w:rFonts w:ascii="ProximaNova" w:hAnsi="ProximaNova"/>
                  <w:b/>
                  <w:bCs/>
                  <w:color w:val="2665AD"/>
                  <w:sz w:val="20"/>
                  <w:szCs w:val="20"/>
                </w:rPr>
                <w:t>Assortativity</w:t>
              </w:r>
              <w:proofErr w:type="spellEnd"/>
            </w:hyperlink>
          </w:p>
        </w:tc>
        <w:tc>
          <w:tcPr>
            <w:tcW w:w="0" w:type="auto"/>
            <w:tcBorders>
              <w:top w:val="nil"/>
            </w:tcBorders>
            <w:shd w:val="clear" w:color="auto" w:fill="F5F5F5"/>
            <w:tcMar>
              <w:top w:w="120" w:type="dxa"/>
              <w:left w:w="120" w:type="dxa"/>
              <w:bottom w:w="120" w:type="dxa"/>
              <w:right w:w="120" w:type="dxa"/>
            </w:tcMar>
            <w:hideMark/>
          </w:tcPr>
          <w:p w14:paraId="3C1C5227" w14:textId="77777777" w:rsidR="00BA0B5F" w:rsidRDefault="00BA0B5F">
            <w:pPr>
              <w:rPr>
                <w:rFonts w:ascii="ProximaNova" w:hAnsi="ProximaNova"/>
                <w:color w:val="333333"/>
                <w:sz w:val="20"/>
                <w:szCs w:val="20"/>
              </w:rPr>
            </w:pPr>
            <w:r>
              <w:rPr>
                <w:rFonts w:ascii="ProximaNova" w:hAnsi="ProximaNova"/>
                <w:color w:val="333333"/>
                <w:sz w:val="20"/>
                <w:szCs w:val="20"/>
              </w:rPr>
              <w:t>0.01805</w:t>
            </w:r>
          </w:p>
        </w:tc>
      </w:tr>
      <w:tr w:rsidR="00BA0B5F" w14:paraId="596BAD1D" w14:textId="77777777" w:rsidTr="00BA0B5F">
        <w:tc>
          <w:tcPr>
            <w:tcW w:w="0" w:type="auto"/>
            <w:tcBorders>
              <w:top w:val="nil"/>
            </w:tcBorders>
            <w:shd w:val="clear" w:color="auto" w:fill="F5F5F5"/>
            <w:tcMar>
              <w:top w:w="120" w:type="dxa"/>
              <w:left w:w="120" w:type="dxa"/>
              <w:bottom w:w="120" w:type="dxa"/>
              <w:right w:w="120" w:type="dxa"/>
            </w:tcMar>
            <w:hideMark/>
          </w:tcPr>
          <w:p w14:paraId="0057C6E9" w14:textId="77777777" w:rsidR="00BA0B5F" w:rsidRDefault="00BA0B5F">
            <w:pPr>
              <w:rPr>
                <w:rFonts w:ascii="ProximaNova" w:hAnsi="ProximaNova"/>
                <w:color w:val="333333"/>
                <w:sz w:val="20"/>
                <w:szCs w:val="20"/>
              </w:rPr>
            </w:pPr>
            <w:r>
              <w:rPr>
                <w:rFonts w:ascii="ProximaNova" w:hAnsi="ProximaNova"/>
                <w:b/>
                <w:bCs/>
                <w:color w:val="333333"/>
                <w:sz w:val="20"/>
                <w:szCs w:val="20"/>
              </w:rPr>
              <w:lastRenderedPageBreak/>
              <w:t>Number of triangles</w:t>
            </w:r>
          </w:p>
        </w:tc>
        <w:tc>
          <w:tcPr>
            <w:tcW w:w="0" w:type="auto"/>
            <w:tcBorders>
              <w:top w:val="nil"/>
            </w:tcBorders>
            <w:shd w:val="clear" w:color="auto" w:fill="F5F5F5"/>
            <w:tcMar>
              <w:top w:w="120" w:type="dxa"/>
              <w:left w:w="120" w:type="dxa"/>
              <w:bottom w:w="120" w:type="dxa"/>
              <w:right w:w="120" w:type="dxa"/>
            </w:tcMar>
            <w:hideMark/>
          </w:tcPr>
          <w:p w14:paraId="42768F7E" w14:textId="77777777" w:rsidR="00BA0B5F" w:rsidRDefault="00BA0B5F">
            <w:pPr>
              <w:rPr>
                <w:rFonts w:ascii="ProximaNova" w:hAnsi="ProximaNova"/>
                <w:color w:val="333333"/>
                <w:sz w:val="20"/>
                <w:szCs w:val="20"/>
              </w:rPr>
            </w:pPr>
            <w:r>
              <w:rPr>
                <w:rFonts w:ascii="ProximaNova" w:hAnsi="ProximaNova"/>
                <w:color w:val="333333"/>
                <w:sz w:val="20"/>
                <w:szCs w:val="20"/>
              </w:rPr>
              <w:t>18.3M</w:t>
            </w:r>
          </w:p>
        </w:tc>
      </w:tr>
      <w:tr w:rsidR="00BA0B5F" w14:paraId="6FF2739E" w14:textId="77777777" w:rsidTr="00BA0B5F">
        <w:tc>
          <w:tcPr>
            <w:tcW w:w="0" w:type="auto"/>
            <w:tcBorders>
              <w:top w:val="nil"/>
            </w:tcBorders>
            <w:shd w:val="clear" w:color="auto" w:fill="F5F5F5"/>
            <w:tcMar>
              <w:top w:w="120" w:type="dxa"/>
              <w:left w:w="120" w:type="dxa"/>
              <w:bottom w:w="120" w:type="dxa"/>
              <w:right w:w="120" w:type="dxa"/>
            </w:tcMar>
            <w:hideMark/>
          </w:tcPr>
          <w:p w14:paraId="12DD1FA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number of triangles</w:t>
            </w:r>
          </w:p>
        </w:tc>
        <w:tc>
          <w:tcPr>
            <w:tcW w:w="0" w:type="auto"/>
            <w:tcBorders>
              <w:top w:val="nil"/>
            </w:tcBorders>
            <w:shd w:val="clear" w:color="auto" w:fill="F5F5F5"/>
            <w:tcMar>
              <w:top w:w="120" w:type="dxa"/>
              <w:left w:w="120" w:type="dxa"/>
              <w:bottom w:w="120" w:type="dxa"/>
              <w:right w:w="120" w:type="dxa"/>
            </w:tcMar>
            <w:hideMark/>
          </w:tcPr>
          <w:p w14:paraId="48153080" w14:textId="77777777" w:rsidR="00BA0B5F" w:rsidRDefault="00BA0B5F">
            <w:pPr>
              <w:rPr>
                <w:rFonts w:ascii="ProximaNova" w:hAnsi="ProximaNova"/>
                <w:color w:val="333333"/>
                <w:sz w:val="20"/>
                <w:szCs w:val="20"/>
              </w:rPr>
            </w:pPr>
            <w:r>
              <w:rPr>
                <w:rFonts w:ascii="ProximaNova" w:hAnsi="ProximaNova"/>
                <w:color w:val="333333"/>
                <w:sz w:val="20"/>
                <w:szCs w:val="20"/>
              </w:rPr>
              <w:t>982</w:t>
            </w:r>
          </w:p>
        </w:tc>
      </w:tr>
      <w:tr w:rsidR="00BA0B5F" w14:paraId="67DDB065" w14:textId="77777777" w:rsidTr="00BA0B5F">
        <w:tc>
          <w:tcPr>
            <w:tcW w:w="0" w:type="auto"/>
            <w:tcBorders>
              <w:top w:val="nil"/>
            </w:tcBorders>
            <w:shd w:val="clear" w:color="auto" w:fill="F5F5F5"/>
            <w:tcMar>
              <w:top w:w="120" w:type="dxa"/>
              <w:left w:w="120" w:type="dxa"/>
              <w:bottom w:w="120" w:type="dxa"/>
              <w:right w:w="120" w:type="dxa"/>
            </w:tcMar>
            <w:hideMark/>
          </w:tcPr>
          <w:p w14:paraId="434A5B6D" w14:textId="77777777" w:rsidR="00BA0B5F" w:rsidRDefault="00BA0B5F">
            <w:pPr>
              <w:rPr>
                <w:rFonts w:ascii="ProximaNova" w:hAnsi="ProximaNova"/>
                <w:color w:val="333333"/>
                <w:sz w:val="20"/>
                <w:szCs w:val="20"/>
              </w:rPr>
            </w:pPr>
            <w:r>
              <w:rPr>
                <w:rFonts w:ascii="ProximaNova" w:hAnsi="ProximaNova"/>
                <w:b/>
                <w:bCs/>
                <w:color w:val="333333"/>
                <w:sz w:val="20"/>
                <w:szCs w:val="20"/>
              </w:rPr>
              <w:t>Maximum number of triangles</w:t>
            </w:r>
          </w:p>
        </w:tc>
        <w:tc>
          <w:tcPr>
            <w:tcW w:w="0" w:type="auto"/>
            <w:tcBorders>
              <w:top w:val="nil"/>
            </w:tcBorders>
            <w:shd w:val="clear" w:color="auto" w:fill="F5F5F5"/>
            <w:tcMar>
              <w:top w:w="120" w:type="dxa"/>
              <w:left w:w="120" w:type="dxa"/>
              <w:bottom w:w="120" w:type="dxa"/>
              <w:right w:w="120" w:type="dxa"/>
            </w:tcMar>
            <w:hideMark/>
          </w:tcPr>
          <w:p w14:paraId="16A23526" w14:textId="77777777" w:rsidR="00BA0B5F" w:rsidRDefault="00BA0B5F">
            <w:pPr>
              <w:rPr>
                <w:rFonts w:ascii="ProximaNova" w:hAnsi="ProximaNova"/>
                <w:color w:val="333333"/>
                <w:sz w:val="20"/>
                <w:szCs w:val="20"/>
              </w:rPr>
            </w:pPr>
            <w:r>
              <w:rPr>
                <w:rFonts w:ascii="ProximaNova" w:hAnsi="ProximaNova"/>
                <w:color w:val="333333"/>
                <w:sz w:val="20"/>
                <w:szCs w:val="20"/>
              </w:rPr>
              <w:t>77.2K</w:t>
            </w:r>
          </w:p>
        </w:tc>
      </w:tr>
      <w:tr w:rsidR="00BA0B5F" w14:paraId="32000662" w14:textId="77777777" w:rsidTr="00BA0B5F">
        <w:tc>
          <w:tcPr>
            <w:tcW w:w="0" w:type="auto"/>
            <w:tcBorders>
              <w:top w:val="nil"/>
            </w:tcBorders>
            <w:shd w:val="clear" w:color="auto" w:fill="F5F5F5"/>
            <w:tcMar>
              <w:top w:w="120" w:type="dxa"/>
              <w:left w:w="120" w:type="dxa"/>
              <w:bottom w:w="120" w:type="dxa"/>
              <w:right w:w="120" w:type="dxa"/>
            </w:tcMar>
            <w:hideMark/>
          </w:tcPr>
          <w:p w14:paraId="3EC4F85F" w14:textId="77777777" w:rsidR="00BA0B5F" w:rsidRDefault="00BA0B5F">
            <w:pPr>
              <w:rPr>
                <w:rFonts w:ascii="ProximaNova" w:hAnsi="ProximaNova"/>
                <w:color w:val="333333"/>
                <w:sz w:val="20"/>
                <w:szCs w:val="20"/>
              </w:rPr>
            </w:pPr>
            <w:r>
              <w:rPr>
                <w:rFonts w:ascii="ProximaNova" w:hAnsi="ProximaNova"/>
                <w:b/>
                <w:bCs/>
                <w:color w:val="333333"/>
                <w:sz w:val="20"/>
                <w:szCs w:val="20"/>
              </w:rPr>
              <w:t>Average clustering coefficient</w:t>
            </w:r>
          </w:p>
        </w:tc>
        <w:tc>
          <w:tcPr>
            <w:tcW w:w="0" w:type="auto"/>
            <w:tcBorders>
              <w:top w:val="nil"/>
            </w:tcBorders>
            <w:shd w:val="clear" w:color="auto" w:fill="F5F5F5"/>
            <w:tcMar>
              <w:top w:w="120" w:type="dxa"/>
              <w:left w:w="120" w:type="dxa"/>
              <w:bottom w:w="120" w:type="dxa"/>
              <w:right w:w="120" w:type="dxa"/>
            </w:tcMar>
            <w:hideMark/>
          </w:tcPr>
          <w:p w14:paraId="25791AA6" w14:textId="77777777" w:rsidR="00BA0B5F" w:rsidRDefault="00BA0B5F">
            <w:pPr>
              <w:rPr>
                <w:rFonts w:ascii="ProximaNova" w:hAnsi="ProximaNova"/>
                <w:color w:val="333333"/>
                <w:sz w:val="20"/>
                <w:szCs w:val="20"/>
              </w:rPr>
            </w:pPr>
            <w:r>
              <w:rPr>
                <w:rFonts w:ascii="ProximaNova" w:hAnsi="ProximaNova"/>
                <w:color w:val="333333"/>
                <w:sz w:val="20"/>
                <w:szCs w:val="20"/>
              </w:rPr>
              <w:t>0.219051</w:t>
            </w:r>
          </w:p>
        </w:tc>
      </w:tr>
      <w:tr w:rsidR="00BA0B5F" w14:paraId="12EC1A22" w14:textId="77777777" w:rsidTr="00BA0B5F">
        <w:tc>
          <w:tcPr>
            <w:tcW w:w="0" w:type="auto"/>
            <w:tcBorders>
              <w:top w:val="nil"/>
            </w:tcBorders>
            <w:shd w:val="clear" w:color="auto" w:fill="F5F5F5"/>
            <w:tcMar>
              <w:top w:w="120" w:type="dxa"/>
              <w:left w:w="120" w:type="dxa"/>
              <w:bottom w:w="120" w:type="dxa"/>
              <w:right w:w="120" w:type="dxa"/>
            </w:tcMar>
            <w:hideMark/>
          </w:tcPr>
          <w:p w14:paraId="46019A4B" w14:textId="77777777" w:rsidR="00BA0B5F" w:rsidRDefault="00BA0B5F">
            <w:pPr>
              <w:rPr>
                <w:rFonts w:ascii="ProximaNova" w:hAnsi="ProximaNova"/>
                <w:color w:val="333333"/>
                <w:sz w:val="20"/>
                <w:szCs w:val="20"/>
              </w:rPr>
            </w:pPr>
            <w:r>
              <w:rPr>
                <w:rFonts w:ascii="ProximaNova" w:hAnsi="ProximaNova"/>
                <w:b/>
                <w:bCs/>
                <w:color w:val="333333"/>
                <w:sz w:val="20"/>
                <w:szCs w:val="20"/>
              </w:rPr>
              <w:t>Fraction of closed triangles</w:t>
            </w:r>
          </w:p>
        </w:tc>
        <w:tc>
          <w:tcPr>
            <w:tcW w:w="0" w:type="auto"/>
            <w:tcBorders>
              <w:top w:val="nil"/>
            </w:tcBorders>
            <w:shd w:val="clear" w:color="auto" w:fill="F5F5F5"/>
            <w:tcMar>
              <w:top w:w="120" w:type="dxa"/>
              <w:left w:w="120" w:type="dxa"/>
              <w:bottom w:w="120" w:type="dxa"/>
              <w:right w:w="120" w:type="dxa"/>
            </w:tcMar>
            <w:hideMark/>
          </w:tcPr>
          <w:p w14:paraId="46890E08" w14:textId="77777777" w:rsidR="00BA0B5F" w:rsidRDefault="00BA0B5F">
            <w:pPr>
              <w:rPr>
                <w:rFonts w:ascii="ProximaNova" w:hAnsi="ProximaNova"/>
                <w:color w:val="333333"/>
                <w:sz w:val="20"/>
                <w:szCs w:val="20"/>
              </w:rPr>
            </w:pPr>
            <w:r>
              <w:rPr>
                <w:rFonts w:ascii="ProximaNova" w:hAnsi="ProximaNova"/>
                <w:color w:val="333333"/>
                <w:sz w:val="20"/>
                <w:szCs w:val="20"/>
              </w:rPr>
              <w:t>0.135615</w:t>
            </w:r>
          </w:p>
        </w:tc>
      </w:tr>
      <w:tr w:rsidR="00BA0B5F" w14:paraId="4C141A03" w14:textId="77777777" w:rsidTr="00BA0B5F">
        <w:tc>
          <w:tcPr>
            <w:tcW w:w="0" w:type="auto"/>
            <w:tcBorders>
              <w:top w:val="nil"/>
            </w:tcBorders>
            <w:shd w:val="clear" w:color="auto" w:fill="F5F5F5"/>
            <w:tcMar>
              <w:top w:w="120" w:type="dxa"/>
              <w:left w:w="120" w:type="dxa"/>
              <w:bottom w:w="120" w:type="dxa"/>
              <w:right w:w="120" w:type="dxa"/>
            </w:tcMar>
            <w:hideMark/>
          </w:tcPr>
          <w:p w14:paraId="06B339EF" w14:textId="77777777" w:rsidR="00BA0B5F" w:rsidRDefault="00BA0B5F">
            <w:pPr>
              <w:rPr>
                <w:rFonts w:ascii="ProximaNova" w:hAnsi="ProximaNova"/>
                <w:color w:val="333333"/>
                <w:sz w:val="20"/>
                <w:szCs w:val="20"/>
              </w:rPr>
            </w:pPr>
            <w:r>
              <w:rPr>
                <w:rFonts w:ascii="ProximaNova" w:hAnsi="ProximaNova"/>
                <w:b/>
                <w:bCs/>
                <w:color w:val="333333"/>
                <w:sz w:val="20"/>
                <w:szCs w:val="20"/>
              </w:rPr>
              <w:t>Maximum k-core</w:t>
            </w:r>
          </w:p>
        </w:tc>
        <w:tc>
          <w:tcPr>
            <w:tcW w:w="0" w:type="auto"/>
            <w:tcBorders>
              <w:top w:val="nil"/>
            </w:tcBorders>
            <w:shd w:val="clear" w:color="auto" w:fill="F5F5F5"/>
            <w:tcMar>
              <w:top w:w="120" w:type="dxa"/>
              <w:left w:w="120" w:type="dxa"/>
              <w:bottom w:w="120" w:type="dxa"/>
              <w:right w:w="120" w:type="dxa"/>
            </w:tcMar>
            <w:hideMark/>
          </w:tcPr>
          <w:p w14:paraId="24C2466A" w14:textId="77777777" w:rsidR="00BA0B5F" w:rsidRDefault="00BA0B5F">
            <w:pPr>
              <w:rPr>
                <w:rFonts w:ascii="ProximaNova" w:hAnsi="ProximaNova"/>
                <w:color w:val="333333"/>
                <w:sz w:val="20"/>
                <w:szCs w:val="20"/>
              </w:rPr>
            </w:pPr>
            <w:r>
              <w:rPr>
                <w:rFonts w:ascii="ProximaNova" w:hAnsi="ProximaNova"/>
                <w:color w:val="333333"/>
                <w:sz w:val="20"/>
                <w:szCs w:val="20"/>
              </w:rPr>
              <w:t>85</w:t>
            </w:r>
          </w:p>
        </w:tc>
      </w:tr>
      <w:tr w:rsidR="00BA0B5F" w14:paraId="58064B22" w14:textId="77777777" w:rsidTr="00BA0B5F">
        <w:tc>
          <w:tcPr>
            <w:tcW w:w="0" w:type="auto"/>
            <w:tcBorders>
              <w:top w:val="nil"/>
            </w:tcBorders>
            <w:shd w:val="clear" w:color="auto" w:fill="D0E9C6"/>
            <w:tcMar>
              <w:top w:w="120" w:type="dxa"/>
              <w:left w:w="120" w:type="dxa"/>
              <w:bottom w:w="120" w:type="dxa"/>
              <w:right w:w="120" w:type="dxa"/>
            </w:tcMar>
            <w:hideMark/>
          </w:tcPr>
          <w:p w14:paraId="3A36C633" w14:textId="77777777" w:rsidR="00BA0B5F" w:rsidRDefault="00BA0B5F">
            <w:pPr>
              <w:rPr>
                <w:rFonts w:ascii="ProximaNova" w:hAnsi="ProximaNova"/>
                <w:color w:val="333333"/>
                <w:sz w:val="20"/>
                <w:szCs w:val="20"/>
              </w:rPr>
            </w:pPr>
            <w:r>
              <w:rPr>
                <w:rFonts w:ascii="ProximaNova" w:hAnsi="ProximaNova"/>
                <w:b/>
                <w:bCs/>
                <w:color w:val="333333"/>
                <w:sz w:val="20"/>
                <w:szCs w:val="20"/>
              </w:rPr>
              <w:t>Lower bound of Maximum Clique</w:t>
            </w:r>
          </w:p>
        </w:tc>
        <w:tc>
          <w:tcPr>
            <w:tcW w:w="0" w:type="auto"/>
            <w:tcBorders>
              <w:top w:val="nil"/>
            </w:tcBorders>
            <w:shd w:val="clear" w:color="auto" w:fill="D0E9C6"/>
            <w:tcMar>
              <w:top w:w="120" w:type="dxa"/>
              <w:left w:w="120" w:type="dxa"/>
              <w:bottom w:w="120" w:type="dxa"/>
              <w:right w:w="120" w:type="dxa"/>
            </w:tcMar>
            <w:hideMark/>
          </w:tcPr>
          <w:p w14:paraId="625E5596" w14:textId="77777777" w:rsidR="00BA0B5F" w:rsidRDefault="00BA0B5F">
            <w:pPr>
              <w:rPr>
                <w:rFonts w:ascii="ProximaNova" w:hAnsi="ProximaNova"/>
                <w:color w:val="333333"/>
                <w:sz w:val="20"/>
                <w:szCs w:val="20"/>
              </w:rPr>
            </w:pPr>
            <w:r>
              <w:rPr>
                <w:rFonts w:ascii="ProximaNova" w:hAnsi="ProximaNova"/>
                <w:color w:val="333333"/>
                <w:sz w:val="20"/>
                <w:szCs w:val="20"/>
              </w:rPr>
              <w:t>13</w:t>
            </w:r>
          </w:p>
        </w:tc>
      </w:tr>
    </w:tbl>
    <w:p w14:paraId="3F5A344C" w14:textId="77777777" w:rsidR="00BA0B5F" w:rsidRDefault="00BA0B5F"/>
    <w:p w14:paraId="21104BEE" w14:textId="093DB78A" w:rsidR="007D3C02" w:rsidRDefault="007D3C02"/>
    <w:p w14:paraId="1FB6E6F3" w14:textId="77777777" w:rsidR="007D3C02" w:rsidRDefault="007D3C02"/>
    <w:p w14:paraId="1613D41C" w14:textId="7DF2CB94" w:rsidR="007D3C02" w:rsidRDefault="007D3C02" w:rsidP="007D3C02">
      <w:pPr>
        <w:rPr>
          <w:b/>
          <w:bCs/>
          <w:u w:val="single"/>
        </w:rPr>
      </w:pPr>
      <w:r w:rsidRPr="007D3C02">
        <w:rPr>
          <w:b/>
          <w:bCs/>
          <w:u w:val="single"/>
        </w:rPr>
        <w:t xml:space="preserve">Project </w:t>
      </w:r>
      <w:r w:rsidR="00BA0B5F">
        <w:rPr>
          <w:b/>
          <w:bCs/>
          <w:u w:val="single"/>
        </w:rPr>
        <w:t>O</w:t>
      </w:r>
      <w:r w:rsidRPr="007D3C02">
        <w:rPr>
          <w:b/>
          <w:bCs/>
          <w:u w:val="single"/>
        </w:rPr>
        <w:t xml:space="preserve">bjectives: </w:t>
      </w:r>
    </w:p>
    <w:p w14:paraId="18CC466D" w14:textId="77777777" w:rsidR="007D3C02" w:rsidRDefault="007D3C02" w:rsidP="007D3C02">
      <w:pPr>
        <w:rPr>
          <w:b/>
          <w:bCs/>
          <w:u w:val="single"/>
        </w:rPr>
      </w:pPr>
    </w:p>
    <w:p w14:paraId="04CE0B45" w14:textId="65B12175" w:rsidR="007D3C02" w:rsidRDefault="007D3C02" w:rsidP="00F36118">
      <w:pPr>
        <w:pStyle w:val="ListParagraph"/>
        <w:numPr>
          <w:ilvl w:val="0"/>
          <w:numId w:val="2"/>
        </w:numPr>
      </w:pPr>
      <w:r>
        <w:t xml:space="preserve">Which centrality measure would be </w:t>
      </w:r>
      <w:r w:rsidR="00BA0B5F">
        <w:t xml:space="preserve">the </w:t>
      </w:r>
      <w:r>
        <w:t>most relevant in the dataset?</w:t>
      </w:r>
    </w:p>
    <w:p w14:paraId="2A42916C" w14:textId="23BB2AE2" w:rsidR="00966514" w:rsidRDefault="007D3C02" w:rsidP="00F36118">
      <w:pPr>
        <w:pStyle w:val="ListParagraph"/>
        <w:numPr>
          <w:ilvl w:val="0"/>
          <w:numId w:val="2"/>
        </w:numPr>
      </w:pPr>
      <w:r>
        <w:t xml:space="preserve">What </w:t>
      </w:r>
      <w:r w:rsidR="00BA0B5F">
        <w:t>would these</w:t>
      </w:r>
      <w:r>
        <w:t xml:space="preserve"> centrality measures </w:t>
      </w:r>
      <w:r w:rsidR="00BA0B5F">
        <w:t xml:space="preserve">help us to </w:t>
      </w:r>
      <w:r>
        <w:t>predict</w:t>
      </w:r>
      <w:r w:rsidR="00BA0B5F">
        <w:t>?</w:t>
      </w:r>
    </w:p>
    <w:p w14:paraId="5E68F6CB" w14:textId="73699929" w:rsidR="00CF4A6E" w:rsidRDefault="00CF4A6E" w:rsidP="00F36118">
      <w:pPr>
        <w:pStyle w:val="ListParagraph"/>
        <w:numPr>
          <w:ilvl w:val="0"/>
          <w:numId w:val="2"/>
        </w:numPr>
      </w:pPr>
      <w:r>
        <w:t>What statistical tests can we apply to identify the best fit centrality measure?</w:t>
      </w:r>
    </w:p>
    <w:p w14:paraId="53A00445" w14:textId="77777777" w:rsidR="007D3C02" w:rsidRDefault="007D3C02"/>
    <w:p w14:paraId="7AAED24E" w14:textId="1FC6F093" w:rsidR="002A0546" w:rsidRDefault="002A0546"/>
    <w:p w14:paraId="046DE183" w14:textId="573B86E0" w:rsidR="002A0546" w:rsidRDefault="002A0546" w:rsidP="002A0546">
      <w:pPr>
        <w:rPr>
          <w:b/>
          <w:u w:val="single"/>
        </w:rPr>
      </w:pPr>
      <w:r w:rsidRPr="00966514">
        <w:rPr>
          <w:b/>
          <w:u w:val="single"/>
        </w:rPr>
        <w:t>Plan for Analysis:</w:t>
      </w:r>
    </w:p>
    <w:p w14:paraId="21B21ACA" w14:textId="2B9A5E14" w:rsidR="00A14FF6" w:rsidRDefault="00A14FF6" w:rsidP="002A0546">
      <w:pPr>
        <w:rPr>
          <w:b/>
          <w:u w:val="single"/>
        </w:rPr>
      </w:pPr>
    </w:p>
    <w:p w14:paraId="5C17F85C" w14:textId="0DA48C85" w:rsidR="00A14FF6" w:rsidRDefault="00A14FF6" w:rsidP="002A0546">
      <w:pPr>
        <w:rPr>
          <w:bCs/>
        </w:rPr>
      </w:pPr>
      <w:r>
        <w:rPr>
          <w:bCs/>
        </w:rPr>
        <w:t xml:space="preserve">Our </w:t>
      </w:r>
      <w:r w:rsidR="008F7C1B">
        <w:rPr>
          <w:bCs/>
        </w:rPr>
        <w:t>analysis on centrality will be performed by the following:</w:t>
      </w:r>
    </w:p>
    <w:p w14:paraId="7CAF788B" w14:textId="72B06F78" w:rsidR="008F7C1B" w:rsidRDefault="008F7C1B" w:rsidP="002A0546">
      <w:pPr>
        <w:rPr>
          <w:bCs/>
        </w:rPr>
      </w:pPr>
    </w:p>
    <w:p w14:paraId="75B13BE9" w14:textId="45C9E27C" w:rsidR="008F7C1B" w:rsidRDefault="008F7C1B" w:rsidP="002A0546">
      <w:pPr>
        <w:rPr>
          <w:bCs/>
        </w:rPr>
      </w:pPr>
      <w:r w:rsidRPr="007F358E">
        <w:rPr>
          <w:b/>
        </w:rPr>
        <w:t>Step 1:</w:t>
      </w:r>
      <w:r>
        <w:rPr>
          <w:bCs/>
        </w:rPr>
        <w:t xml:space="preserve"> Leticia will download the data from the Network Repository to be able to upload it to GitHub. Since the data is available as a .</w:t>
      </w:r>
      <w:proofErr w:type="spellStart"/>
      <w:r>
        <w:rPr>
          <w:bCs/>
        </w:rPr>
        <w:t>mtx</w:t>
      </w:r>
      <w:proofErr w:type="spellEnd"/>
      <w:r>
        <w:rPr>
          <w:bCs/>
        </w:rPr>
        <w:t xml:space="preserve"> file different than a .csv file, we will have to format the dataset </w:t>
      </w:r>
      <w:r w:rsidR="00311FD4">
        <w:rPr>
          <w:bCs/>
        </w:rPr>
        <w:t>to</w:t>
      </w:r>
      <w:r>
        <w:rPr>
          <w:bCs/>
        </w:rPr>
        <w:t xml:space="preserve"> be able to read it as a .csv file into our </w:t>
      </w:r>
      <w:proofErr w:type="spellStart"/>
      <w:r>
        <w:rPr>
          <w:bCs/>
        </w:rPr>
        <w:t>jupyter</w:t>
      </w:r>
      <w:proofErr w:type="spellEnd"/>
      <w:r>
        <w:rPr>
          <w:bCs/>
        </w:rPr>
        <w:t xml:space="preserve"> notebook. </w:t>
      </w:r>
      <w:r w:rsidR="00311FD4">
        <w:rPr>
          <w:bCs/>
        </w:rPr>
        <w:t>There is a way to also read the .</w:t>
      </w:r>
      <w:proofErr w:type="spellStart"/>
      <w:r w:rsidR="00311FD4">
        <w:rPr>
          <w:bCs/>
        </w:rPr>
        <w:t>mtx</w:t>
      </w:r>
      <w:proofErr w:type="spellEnd"/>
      <w:r w:rsidR="00311FD4">
        <w:rPr>
          <w:bCs/>
        </w:rPr>
        <w:t xml:space="preserve"> file directly from GitHub into a </w:t>
      </w:r>
      <w:proofErr w:type="spellStart"/>
      <w:r w:rsidR="00311FD4">
        <w:rPr>
          <w:bCs/>
        </w:rPr>
        <w:t>jupyter</w:t>
      </w:r>
      <w:proofErr w:type="spellEnd"/>
      <w:r w:rsidR="00311FD4">
        <w:rPr>
          <w:bCs/>
        </w:rPr>
        <w:t xml:space="preserve"> notebook which will serve as another option for us to explore.</w:t>
      </w:r>
    </w:p>
    <w:p w14:paraId="55B13891" w14:textId="0AD4022C" w:rsidR="00C83137" w:rsidRDefault="00C83137" w:rsidP="002A0546">
      <w:pPr>
        <w:rPr>
          <w:bCs/>
        </w:rPr>
      </w:pPr>
    </w:p>
    <w:p w14:paraId="02641041" w14:textId="79911E9B" w:rsidR="00C83137" w:rsidRDefault="00C83137" w:rsidP="002A0546">
      <w:pPr>
        <w:rPr>
          <w:bCs/>
        </w:rPr>
      </w:pPr>
      <w:r w:rsidRPr="007F358E">
        <w:rPr>
          <w:b/>
        </w:rPr>
        <w:t>Step 2:</w:t>
      </w:r>
      <w:r w:rsidR="00311FD4">
        <w:rPr>
          <w:bCs/>
        </w:rPr>
        <w:t xml:space="preserve"> Once the data has been uploaded, we will </w:t>
      </w:r>
      <w:r w:rsidR="00AF4931">
        <w:rPr>
          <w:bCs/>
        </w:rPr>
        <w:t xml:space="preserve">clean, </w:t>
      </w:r>
      <w:r w:rsidR="00311FD4">
        <w:rPr>
          <w:bCs/>
        </w:rPr>
        <w:t xml:space="preserve">explore, analyze, and visualize the data to get a sense of what we are working with. Within the exploratory and analysis process we will look to answer the first question of our project objective: Which centrality measure would be the most relevant in the dataset? </w:t>
      </w:r>
    </w:p>
    <w:p w14:paraId="4AB93C89" w14:textId="3F54357A" w:rsidR="00311FD4" w:rsidRDefault="00311FD4" w:rsidP="002A0546">
      <w:pPr>
        <w:rPr>
          <w:bCs/>
        </w:rPr>
      </w:pPr>
    </w:p>
    <w:p w14:paraId="02DDF6E2" w14:textId="77777777" w:rsidR="00311FD4" w:rsidRDefault="00311FD4" w:rsidP="00311FD4">
      <w:r>
        <w:t>Some common centrality measures include:</w:t>
      </w:r>
    </w:p>
    <w:p w14:paraId="1854E4F1" w14:textId="34A95942" w:rsidR="00311FD4" w:rsidRDefault="00311FD4" w:rsidP="00311FD4">
      <w:pPr>
        <w:pStyle w:val="ListParagraph"/>
        <w:numPr>
          <w:ilvl w:val="0"/>
          <w:numId w:val="2"/>
        </w:numPr>
      </w:pPr>
      <w:r>
        <w:t xml:space="preserve">Degree Centrality: based on the number of connections a node has in the network. Nodes with high degree centrality are those that have many connections to other </w:t>
      </w:r>
      <w:r w:rsidR="00560ED7">
        <w:t>nodes and</w:t>
      </w:r>
      <w:r>
        <w:t xml:space="preserve"> are often considered to be important hubs within the network.</w:t>
      </w:r>
    </w:p>
    <w:p w14:paraId="0BDFA4CF" w14:textId="3DF137CD" w:rsidR="00311FD4" w:rsidRDefault="00311FD4" w:rsidP="00311FD4">
      <w:pPr>
        <w:pStyle w:val="ListParagraph"/>
        <w:numPr>
          <w:ilvl w:val="0"/>
          <w:numId w:val="2"/>
        </w:numPr>
      </w:pPr>
      <w:r>
        <w:t>Betweenness Centrality: based on the extent to which a node lies on the shortest path between other nodes in the network. Nodes with high betweenness centrality are often those that act as bridges between different parts of the network.</w:t>
      </w:r>
    </w:p>
    <w:p w14:paraId="1DC2469C" w14:textId="19CC863B" w:rsidR="00311FD4" w:rsidRDefault="00311FD4" w:rsidP="00311FD4">
      <w:pPr>
        <w:pStyle w:val="ListParagraph"/>
        <w:numPr>
          <w:ilvl w:val="0"/>
          <w:numId w:val="2"/>
        </w:numPr>
      </w:pPr>
      <w:r>
        <w:lastRenderedPageBreak/>
        <w:t xml:space="preserve">Closeness Centrality: based on the distance between a node and all other nodes in the network. Nodes with high closeness centrality are those that are close to many other nodes in the </w:t>
      </w:r>
      <w:r w:rsidR="00560ED7">
        <w:t>network and</w:t>
      </w:r>
      <w:r>
        <w:t xml:space="preserve"> are often considered to be important for efficient communication and information flow.</w:t>
      </w:r>
    </w:p>
    <w:p w14:paraId="411B84FF" w14:textId="61F3DC8E" w:rsidR="00311FD4" w:rsidRDefault="00311FD4" w:rsidP="00311FD4">
      <w:pPr>
        <w:pStyle w:val="ListParagraph"/>
        <w:numPr>
          <w:ilvl w:val="0"/>
          <w:numId w:val="2"/>
        </w:numPr>
      </w:pPr>
      <w:r>
        <w:t>Eigenvector Centrality: based on the idea that the importance of a node is proportional to the importance of its neighbors. Nodes with high eigenvector centrality are those that are connected to the other nodes</w:t>
      </w:r>
      <w:r w:rsidR="00DF229C">
        <w:t xml:space="preserve"> with high eigenvector centrality and are often considered to be influential within the network. </w:t>
      </w:r>
    </w:p>
    <w:p w14:paraId="57C9F890" w14:textId="661E3B29" w:rsidR="00311FD4" w:rsidRDefault="00311FD4" w:rsidP="00311FD4">
      <w:pPr>
        <w:pStyle w:val="ListParagraph"/>
        <w:numPr>
          <w:ilvl w:val="0"/>
          <w:numId w:val="2"/>
        </w:numPr>
      </w:pPr>
      <w:r>
        <w:t>PageRank:</w:t>
      </w:r>
      <w:r w:rsidR="00DF229C">
        <w:t xml:space="preserve"> used to evaluate the importance of web pages in a network of hyperlinks. It is based on the idea that a web page is important if it is linked to by other important web pages.</w:t>
      </w:r>
    </w:p>
    <w:p w14:paraId="1C945DC4" w14:textId="77777777" w:rsidR="00311FD4" w:rsidRDefault="00311FD4" w:rsidP="002A0546">
      <w:pPr>
        <w:rPr>
          <w:bCs/>
        </w:rPr>
      </w:pPr>
    </w:p>
    <w:p w14:paraId="1324FDF4" w14:textId="0D2F263A" w:rsidR="00C83137" w:rsidRDefault="00C83137" w:rsidP="002A0546">
      <w:pPr>
        <w:rPr>
          <w:bCs/>
        </w:rPr>
      </w:pPr>
    </w:p>
    <w:p w14:paraId="17B19393" w14:textId="28720018" w:rsidR="007F358E" w:rsidRDefault="00C83137" w:rsidP="002A0546">
      <w:r w:rsidRPr="007F358E">
        <w:rPr>
          <w:b/>
        </w:rPr>
        <w:t>Step 3:</w:t>
      </w:r>
      <w:r w:rsidR="00AF4931">
        <w:rPr>
          <w:bCs/>
        </w:rPr>
        <w:t xml:space="preserve"> Using </w:t>
      </w:r>
      <w:proofErr w:type="spellStart"/>
      <w:r w:rsidR="00AF4931">
        <w:rPr>
          <w:bCs/>
        </w:rPr>
        <w:t>networkx</w:t>
      </w:r>
      <w:proofErr w:type="spellEnd"/>
      <w:r w:rsidR="00AF4931">
        <w:rPr>
          <w:bCs/>
        </w:rPr>
        <w:t xml:space="preserve"> we will create graphs to show the connections between the people and their friendships on Facebook.</w:t>
      </w:r>
      <w:r w:rsidR="00560ED7">
        <w:rPr>
          <w:bCs/>
        </w:rPr>
        <w:t xml:space="preserve"> At this point we should know what type of cent</w:t>
      </w:r>
      <w:r w:rsidR="007F358E">
        <w:rPr>
          <w:bCs/>
        </w:rPr>
        <w:t>rality measure best describes the data and be able to answer the second question of our objective: What would these centrality measures help us to predict?</w:t>
      </w:r>
      <w:r w:rsidR="00EC1A51">
        <w:rPr>
          <w:bCs/>
        </w:rPr>
        <w:t xml:space="preserve"> Leticia has predicted that the centrality measures will help us predict that </w:t>
      </w:r>
      <w:r w:rsidR="007F358E">
        <w:rPr>
          <w:bCs/>
        </w:rPr>
        <w:t>eigenvector centrality will be a better fit to our dataset</w:t>
      </w:r>
      <w:r w:rsidR="00EC1A51">
        <w:rPr>
          <w:bCs/>
        </w:rPr>
        <w:t>. S</w:t>
      </w:r>
      <w:r w:rsidR="007F358E">
        <w:rPr>
          <w:bCs/>
        </w:rPr>
        <w:t xml:space="preserve">ince there </w:t>
      </w:r>
      <w:r w:rsidR="0002721E">
        <w:rPr>
          <w:bCs/>
        </w:rPr>
        <w:t>must</w:t>
      </w:r>
      <w:r w:rsidR="007F358E">
        <w:rPr>
          <w:bCs/>
        </w:rPr>
        <w:t xml:space="preserve"> be a common interest to form networks (form friendships) on Facebook</w:t>
      </w:r>
      <w:r w:rsidR="00EC1A51">
        <w:rPr>
          <w:bCs/>
        </w:rPr>
        <w:t xml:space="preserve"> t</w:t>
      </w:r>
      <w:r w:rsidR="007F358E">
        <w:rPr>
          <w:bCs/>
        </w:rPr>
        <w:t xml:space="preserve">he higher the number of commonalities (the more friends or interests in common) the higher the chances these two people will be connected. </w:t>
      </w:r>
    </w:p>
    <w:p w14:paraId="478F61E5" w14:textId="62AB5D04" w:rsidR="005163C4" w:rsidRDefault="005163C4" w:rsidP="002A0546"/>
    <w:p w14:paraId="387A6406" w14:textId="63B31101" w:rsidR="005163C4" w:rsidRDefault="005163C4" w:rsidP="005163C4">
      <w:r w:rsidRPr="005163C4">
        <w:rPr>
          <w:b/>
          <w:bCs/>
        </w:rPr>
        <w:t xml:space="preserve">Step 4: </w:t>
      </w:r>
      <w:r>
        <w:rPr>
          <w:b/>
          <w:bCs/>
        </w:rPr>
        <w:t xml:space="preserve"> </w:t>
      </w:r>
      <w:r>
        <w:rPr>
          <w:bCs/>
        </w:rPr>
        <w:t xml:space="preserve">Bikram raised the inquiry that led to the last objective question: What </w:t>
      </w:r>
      <w:r>
        <w:t>statistical tests can we apply to identify the best fit centrality measure? Centrality is an important concept in social network analysis which involves the identification of important or prominent actors.</w:t>
      </w:r>
      <w:r>
        <w:t xml:space="preserve"> We are unsure if any statistical tests will be relevant to our dataset but looking forward to </w:t>
      </w:r>
      <w:r w:rsidR="0067019D">
        <w:t xml:space="preserve">report </w:t>
      </w:r>
      <w:r>
        <w:t>our findings.</w:t>
      </w:r>
    </w:p>
    <w:p w14:paraId="631C3F96" w14:textId="4A5C02B6" w:rsidR="005163C4" w:rsidRPr="005163C4" w:rsidRDefault="005163C4" w:rsidP="002A0546">
      <w:pPr>
        <w:rPr>
          <w:b/>
          <w:bCs/>
        </w:rPr>
      </w:pPr>
    </w:p>
    <w:p w14:paraId="3617A3C3" w14:textId="2B872F23" w:rsidR="00A14FF6" w:rsidRDefault="00A14FF6" w:rsidP="002A0546">
      <w:pPr>
        <w:rPr>
          <w:b/>
          <w:u w:val="single"/>
        </w:rPr>
      </w:pPr>
    </w:p>
    <w:p w14:paraId="4071B059" w14:textId="64872DF5" w:rsidR="00A14FF6" w:rsidRDefault="00A14FF6" w:rsidP="002A0546">
      <w:pPr>
        <w:rPr>
          <w:b/>
          <w:u w:val="single"/>
        </w:rPr>
      </w:pPr>
    </w:p>
    <w:p w14:paraId="3C46E0AF" w14:textId="46FE797B" w:rsidR="00A14FF6" w:rsidRDefault="00A14FF6" w:rsidP="00A14FF6">
      <w:pPr>
        <w:rPr>
          <w:b/>
          <w:u w:val="single"/>
        </w:rPr>
      </w:pPr>
      <w:r>
        <w:rPr>
          <w:b/>
          <w:u w:val="single"/>
        </w:rPr>
        <w:t>References</w:t>
      </w:r>
      <w:r w:rsidRPr="00966514">
        <w:rPr>
          <w:b/>
          <w:u w:val="single"/>
        </w:rPr>
        <w:t>:</w:t>
      </w:r>
    </w:p>
    <w:p w14:paraId="30FAF1DD" w14:textId="261D674E" w:rsidR="00A14FF6" w:rsidRDefault="00A14FF6" w:rsidP="002A0546">
      <w:pPr>
        <w:rPr>
          <w:b/>
          <w:u w:val="single"/>
        </w:rPr>
      </w:pPr>
    </w:p>
    <w:p w14:paraId="4590B2C7" w14:textId="6B2884C1" w:rsidR="007F358E" w:rsidRDefault="00A14FF6" w:rsidP="007F358E">
      <w:pPr>
        <w:pStyle w:val="NormalWeb"/>
        <w:numPr>
          <w:ilvl w:val="0"/>
          <w:numId w:val="1"/>
        </w:numPr>
      </w:pPr>
      <w:r>
        <w:t xml:space="preserve">Rossi, R. A., &amp; Ahmed, N. K. (2015). </w:t>
      </w:r>
      <w:r>
        <w:rPr>
          <w:i/>
          <w:iCs/>
        </w:rPr>
        <w:t>The Network Data Repository with Interactive Graph Analytics and Visualization</w:t>
      </w:r>
      <w:r>
        <w:t xml:space="preserve">. Network Data Repository. Retrieved February 16, 2023, from https://networkrepository.com </w:t>
      </w:r>
    </w:p>
    <w:p w14:paraId="18B3871D" w14:textId="5E2392C4" w:rsidR="007F358E" w:rsidRDefault="007F358E" w:rsidP="007F358E">
      <w:pPr>
        <w:pStyle w:val="NormalWeb"/>
        <w:numPr>
          <w:ilvl w:val="0"/>
          <w:numId w:val="1"/>
        </w:numPr>
      </w:pPr>
      <w:r>
        <w:t xml:space="preserve">AOMAR, A. A. I. T. (2020, August 2). </w:t>
      </w:r>
      <w:r>
        <w:rPr>
          <w:i/>
          <w:iCs/>
        </w:rPr>
        <w:t>Notes on graph theory - centrality measures</w:t>
      </w:r>
      <w:r>
        <w:t xml:space="preserve">. Medium. Retrieved February 17, 2023, from https://towardsdatascience.com/notes-on-graph-theory-centrality-measurements-e37d2e49550a </w:t>
      </w:r>
    </w:p>
    <w:p w14:paraId="7117429E" w14:textId="77777777" w:rsidR="00C0464E" w:rsidRDefault="00C0464E" w:rsidP="00C0464E">
      <w:pPr>
        <w:pStyle w:val="NormalWeb"/>
        <w:numPr>
          <w:ilvl w:val="0"/>
          <w:numId w:val="1"/>
        </w:numPr>
      </w:pPr>
      <w:r>
        <w:t xml:space="preserve">Disney, A. (2022, October 27). </w:t>
      </w:r>
      <w:r>
        <w:rPr>
          <w:i/>
          <w:iCs/>
        </w:rPr>
        <w:t>Social network analysis: Understanding centrality measures</w:t>
      </w:r>
      <w:r>
        <w:t xml:space="preserve">. Cambridge Intelligence. Retrieved February 18, 2023, from https://cambridge-intelligence.com/keylines-faqs-social-network-analysis/ </w:t>
      </w:r>
    </w:p>
    <w:p w14:paraId="3687B3EB" w14:textId="77777777" w:rsidR="00C0464E" w:rsidRDefault="00C0464E" w:rsidP="00C0464E">
      <w:pPr>
        <w:pStyle w:val="NormalWeb"/>
        <w:numPr>
          <w:ilvl w:val="0"/>
          <w:numId w:val="1"/>
        </w:numPr>
      </w:pPr>
      <w:proofErr w:type="spellStart"/>
      <w:r>
        <w:t>ArijitGayen@ArijitGayen</w:t>
      </w:r>
      <w:proofErr w:type="spellEnd"/>
      <w:r>
        <w:t xml:space="preserve">. (2019, November 21). </w:t>
      </w:r>
      <w:r>
        <w:rPr>
          <w:i/>
          <w:iCs/>
        </w:rPr>
        <w:t xml:space="preserve">Network centrality measures in a graph using </w:t>
      </w:r>
      <w:proofErr w:type="spellStart"/>
      <w:r>
        <w:rPr>
          <w:i/>
          <w:iCs/>
        </w:rPr>
        <w:t>Networkx</w:t>
      </w:r>
      <w:proofErr w:type="spellEnd"/>
      <w:r>
        <w:rPr>
          <w:i/>
          <w:iCs/>
        </w:rPr>
        <w:t>: Python</w:t>
      </w:r>
      <w:r>
        <w:t xml:space="preserve">. </w:t>
      </w:r>
      <w:proofErr w:type="spellStart"/>
      <w:r>
        <w:t>GeeksforGeeks</w:t>
      </w:r>
      <w:proofErr w:type="spellEnd"/>
      <w:r>
        <w:t xml:space="preserve">. Retrieved February 18, 2023, from </w:t>
      </w:r>
      <w:r>
        <w:lastRenderedPageBreak/>
        <w:t xml:space="preserve">https://www.geeksforgeeks.org/network-centrality-measures-in-a-graph-using-networkx-python/ </w:t>
      </w:r>
    </w:p>
    <w:p w14:paraId="15C24239" w14:textId="77777777" w:rsidR="00C0464E" w:rsidRDefault="00C0464E" w:rsidP="00C0464E">
      <w:pPr>
        <w:pStyle w:val="NormalWeb"/>
        <w:ind w:left="360"/>
      </w:pPr>
    </w:p>
    <w:p w14:paraId="5110E1C5" w14:textId="77777777" w:rsidR="00A14FF6" w:rsidRPr="00A14FF6" w:rsidRDefault="00A14FF6" w:rsidP="007F358E">
      <w:pPr>
        <w:pStyle w:val="ListParagraph"/>
        <w:rPr>
          <w:b/>
          <w:u w:val="single"/>
        </w:rPr>
      </w:pPr>
    </w:p>
    <w:p w14:paraId="2E080328" w14:textId="77777777" w:rsidR="002A0546" w:rsidRDefault="002A0546"/>
    <w:sectPr w:rsidR="002A0546" w:rsidSect="002A0546">
      <w:type w:val="continuous"/>
      <w:pgSz w:w="12240" w:h="15840" w:code="1"/>
      <w:pgMar w:top="1440" w:right="1440" w:bottom="1440" w:left="1440" w:header="288" w:footer="288"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Nova">
    <w:panose1 w:val="02000506030000020004"/>
    <w:charset w:val="00"/>
    <w:family w:val="auto"/>
    <w:pitch w:val="variable"/>
    <w:sig w:usb0="2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317"/>
    <w:multiLevelType w:val="hybridMultilevel"/>
    <w:tmpl w:val="42981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E6136"/>
    <w:multiLevelType w:val="hybridMultilevel"/>
    <w:tmpl w:val="607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55D"/>
    <w:multiLevelType w:val="hybridMultilevel"/>
    <w:tmpl w:val="2A9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73852">
    <w:abstractNumId w:val="1"/>
  </w:num>
  <w:num w:numId="2" w16cid:durableId="1677269432">
    <w:abstractNumId w:val="2"/>
  </w:num>
  <w:num w:numId="3" w16cid:durableId="7663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46"/>
    <w:rsid w:val="0002721E"/>
    <w:rsid w:val="002A0546"/>
    <w:rsid w:val="00311FD4"/>
    <w:rsid w:val="00410200"/>
    <w:rsid w:val="005163C4"/>
    <w:rsid w:val="00560ED7"/>
    <w:rsid w:val="0067019D"/>
    <w:rsid w:val="007B3287"/>
    <w:rsid w:val="007D3C02"/>
    <w:rsid w:val="007F358E"/>
    <w:rsid w:val="008442A9"/>
    <w:rsid w:val="008F7C1B"/>
    <w:rsid w:val="00966514"/>
    <w:rsid w:val="00A07294"/>
    <w:rsid w:val="00A14FF6"/>
    <w:rsid w:val="00AD15B0"/>
    <w:rsid w:val="00AF4931"/>
    <w:rsid w:val="00BA0B5F"/>
    <w:rsid w:val="00C0464E"/>
    <w:rsid w:val="00C67096"/>
    <w:rsid w:val="00C83137"/>
    <w:rsid w:val="00CC19F8"/>
    <w:rsid w:val="00CF4A6E"/>
    <w:rsid w:val="00DF229C"/>
    <w:rsid w:val="00EC1A51"/>
    <w:rsid w:val="00F3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8429"/>
  <w15:chartTrackingRefBased/>
  <w15:docId w15:val="{D1611750-582A-E847-8983-3DBF1E1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287"/>
    <w:rPr>
      <w:color w:val="0563C1" w:themeColor="hyperlink"/>
      <w:u w:val="single"/>
    </w:rPr>
  </w:style>
  <w:style w:type="character" w:styleId="UnresolvedMention">
    <w:name w:val="Unresolved Mention"/>
    <w:basedOn w:val="DefaultParagraphFont"/>
    <w:uiPriority w:val="99"/>
    <w:semiHidden/>
    <w:unhideWhenUsed/>
    <w:rsid w:val="007B3287"/>
    <w:rPr>
      <w:color w:val="605E5C"/>
      <w:shd w:val="clear" w:color="auto" w:fill="E1DFDD"/>
    </w:rPr>
  </w:style>
  <w:style w:type="paragraph" w:styleId="ListParagraph">
    <w:name w:val="List Paragraph"/>
    <w:basedOn w:val="Normal"/>
    <w:uiPriority w:val="34"/>
    <w:qFormat/>
    <w:rsid w:val="00A14FF6"/>
    <w:pPr>
      <w:ind w:left="720"/>
      <w:contextualSpacing/>
    </w:pPr>
  </w:style>
  <w:style w:type="paragraph" w:styleId="NormalWeb">
    <w:name w:val="Normal (Web)"/>
    <w:basedOn w:val="Normal"/>
    <w:uiPriority w:val="99"/>
    <w:semiHidden/>
    <w:unhideWhenUsed/>
    <w:rsid w:val="00A14F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4020">
      <w:bodyDiv w:val="1"/>
      <w:marLeft w:val="0"/>
      <w:marRight w:val="0"/>
      <w:marTop w:val="0"/>
      <w:marBottom w:val="0"/>
      <w:divBdr>
        <w:top w:val="none" w:sz="0" w:space="0" w:color="auto"/>
        <w:left w:val="none" w:sz="0" w:space="0" w:color="auto"/>
        <w:bottom w:val="none" w:sz="0" w:space="0" w:color="auto"/>
        <w:right w:val="none" w:sz="0" w:space="0" w:color="auto"/>
      </w:divBdr>
    </w:div>
    <w:div w:id="690107101">
      <w:bodyDiv w:val="1"/>
      <w:marLeft w:val="0"/>
      <w:marRight w:val="0"/>
      <w:marTop w:val="0"/>
      <w:marBottom w:val="0"/>
      <w:divBdr>
        <w:top w:val="none" w:sz="0" w:space="0" w:color="auto"/>
        <w:left w:val="none" w:sz="0" w:space="0" w:color="auto"/>
        <w:bottom w:val="none" w:sz="0" w:space="0" w:color="auto"/>
        <w:right w:val="none" w:sz="0" w:space="0" w:color="auto"/>
      </w:divBdr>
    </w:div>
    <w:div w:id="1545409534">
      <w:bodyDiv w:val="1"/>
      <w:marLeft w:val="0"/>
      <w:marRight w:val="0"/>
      <w:marTop w:val="0"/>
      <w:marBottom w:val="0"/>
      <w:divBdr>
        <w:top w:val="none" w:sz="0" w:space="0" w:color="auto"/>
        <w:left w:val="none" w:sz="0" w:space="0" w:color="auto"/>
        <w:bottom w:val="none" w:sz="0" w:space="0" w:color="auto"/>
        <w:right w:val="none" w:sz="0" w:space="0" w:color="auto"/>
      </w:divBdr>
    </w:div>
    <w:div w:id="1577014914">
      <w:bodyDiv w:val="1"/>
      <w:marLeft w:val="0"/>
      <w:marRight w:val="0"/>
      <w:marTop w:val="0"/>
      <w:marBottom w:val="0"/>
      <w:divBdr>
        <w:top w:val="none" w:sz="0" w:space="0" w:color="auto"/>
        <w:left w:val="none" w:sz="0" w:space="0" w:color="auto"/>
        <w:bottom w:val="none" w:sz="0" w:space="0" w:color="auto"/>
        <w:right w:val="none" w:sz="0" w:space="0" w:color="auto"/>
      </w:divBdr>
    </w:div>
    <w:div w:id="16794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ssortativity" TargetMode="External"/><Relationship Id="rId5" Type="http://schemas.openxmlformats.org/officeDocument/2006/relationships/hyperlink" Target="https://networkrepository.com/socfb-Cornell5.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Salazar</dc:creator>
  <cp:keywords/>
  <dc:description/>
  <cp:lastModifiedBy>Leticia Salazar</cp:lastModifiedBy>
  <cp:revision>3</cp:revision>
  <dcterms:created xsi:type="dcterms:W3CDTF">2023-02-16T18:52:00Z</dcterms:created>
  <dcterms:modified xsi:type="dcterms:W3CDTF">2023-02-19T18:59:00Z</dcterms:modified>
</cp:coreProperties>
</file>