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</w:rPr>
        <w:t>DOCUMENTO DE EXEMPLO, SEM RELAÇÃO COM INSTITUIÇÃO REAL</w:t>
      </w:r>
    </w:p>
    <w:p>
      <w:pPr>
        <w:jc w:val="center"/>
      </w:pPr>
      <w:r>
        <w:rPr>
          <w:b/>
          <w:sz w:val="28"/>
        </w:rPr>
        <w:t>Exemplo Pagamentos IP S.A. (instituição fictícia)</w:t>
      </w:r>
    </w:p>
    <w:p>
      <w:pPr>
        <w:jc w:val="center"/>
      </w:pPr>
      <w:r>
        <w:rPr>
          <w:b/>
          <w:sz w:val="28"/>
        </w:rPr>
        <w:t>Política de Prevenção a Fraudes</w:t>
      </w:r>
    </w:p>
    <w:p>
      <w:pPr>
        <w:jc w:val="center"/>
      </w:pPr>
      <w:r>
        <w:rPr>
          <w:b w:val="0"/>
        </w:rPr>
        <w:t>Versão 3.0</w:t>
      </w:r>
    </w:p>
    <w:p>
      <w:pPr>
        <w:jc w:val="center"/>
      </w:pPr>
      <w:r>
        <w:rPr>
          <w:b w:val="0"/>
        </w:rPr>
        <w:t>Aprovada pelo Conselho de Administração em 18 de março de 2025</w:t>
      </w:r>
    </w:p>
    <w:p>
      <w:pPr>
        <w:jc w:val="center"/>
      </w:pPr>
      <w:r>
        <w:rPr>
          <w:b w:val="0"/>
        </w:rPr>
        <w:t>Vigência a partir de 18 de março de 2025</w:t>
      </w:r>
    </w:p>
    <w:p>
      <w:pPr>
        <w:jc w:val="center"/>
      </w:pPr>
      <w:r>
        <w:rPr>
          <w:b w:val="0"/>
        </w:rPr>
        <w:t>Área responsável: Diretoria de Riscos e Compliance</w:t>
      </w:r>
    </w:p>
    <w:p>
      <w:pPr>
        <w:jc w:val="center"/>
      </w:pPr>
      <w:r>
        <w:rPr>
          <w:b w:val="0"/>
        </w:rPr>
        <w:t>Próxima revisão ordinária: março de 2026</w:t>
      </w:r>
    </w:p>
    <w:p>
      <w:pPr>
        <w:pStyle w:val="Heading2"/>
      </w:pPr>
      <w:r>
        <w:t>1. Objetivo</w:t>
      </w:r>
    </w:p>
    <w:p>
      <w:pPr>
        <w:jc w:val="both"/>
      </w:pPr>
      <w:r>
        <w:rPr>
          <w:b/>
        </w:rPr>
        <w:t xml:space="preserve">1.1 </w:t>
      </w:r>
      <w:r>
        <w:t>Esta Política estabelece os princípios, as diretrizes e os procedimentos adotados pela Exemplo Pagamentos IP S.A. ("Instituição") para prevenir, detectar e tratar fraudes na prestação de serviços de pagamento, em atendimento à Resolução BCB nº 142, de 23 de setembro de 2021, ao Regulamento anexo à Resolução BCB nº 1, de 12 de agosto de 2020 (Regulamento do Pix), e à Lei nº 12.865, de 9 de outubro de 2013.</w:t>
      </w:r>
    </w:p>
    <w:p>
      <w:pPr>
        <w:pStyle w:val="Heading2"/>
      </w:pPr>
      <w:r>
        <w:t>2. Abrangência</w:t>
      </w:r>
    </w:p>
    <w:p>
      <w:pPr>
        <w:jc w:val="both"/>
      </w:pPr>
      <w:r>
        <w:rPr>
          <w:b/>
        </w:rPr>
        <w:t xml:space="preserve">2.1 </w:t>
      </w:r>
      <w:r>
        <w:t>Aplica-se às contas de pagamento pré-pagas, às transações Pix, aos cartões pré-pagos e às transferências entre contas mantidas na Instituição.</w:t>
      </w:r>
    </w:p>
    <w:p>
      <w:pPr>
        <w:jc w:val="both"/>
      </w:pPr>
      <w:r>
        <w:rPr>
          <w:b/>
        </w:rPr>
        <w:t xml:space="preserve">2.2 </w:t>
      </w:r>
      <w:r>
        <w:t>Aplica-se a administradores, colaboradores, prestadores de serviço e parceiros comerciais que atuem em nome da Instituição.</w:t>
      </w:r>
    </w:p>
    <w:p>
      <w:pPr>
        <w:pStyle w:val="Heading2"/>
      </w:pPr>
      <w:r>
        <w:t>3. Governança e aprovação</w:t>
      </w:r>
    </w:p>
    <w:p>
      <w:pPr>
        <w:jc w:val="both"/>
      </w:pPr>
      <w:r>
        <w:rPr>
          <w:b/>
        </w:rPr>
        <w:t xml:space="preserve">3.1 </w:t>
      </w:r>
      <w:r>
        <w:t>Esta Política é aprovada pelo Conselho de Administração, mediante proposta da Diretoria de Riscos e Compliance, após manifestação do Comitê de Riscos.</w:t>
      </w:r>
    </w:p>
    <w:p>
      <w:pPr>
        <w:jc w:val="both"/>
      </w:pPr>
      <w:r>
        <w:rPr>
          <w:b/>
        </w:rPr>
        <w:t xml:space="preserve">3.2 </w:t>
      </w:r>
      <w:r>
        <w:t>A Diretoria de Riscos e Compliance é a responsável pela implementação desta Política e pela supervisão das atividades de prevenção a fraudes.</w:t>
      </w:r>
    </w:p>
    <w:p>
      <w:pPr>
        <w:jc w:val="both"/>
      </w:pPr>
      <w:r>
        <w:rPr>
          <w:b/>
        </w:rPr>
        <w:t xml:space="preserve">3.3 </w:t>
      </w:r>
      <w:r>
        <w:t>O Comitê de Riscos acompanha mensalmente os indicadores de fraude e as medidas adotadas.</w:t>
      </w:r>
    </w:p>
    <w:p>
      <w:pPr>
        <w:pStyle w:val="Heading2"/>
      </w:pPr>
      <w:r>
        <w:t>4. Papéis e responsabilidades</w:t>
      </w:r>
    </w:p>
    <w:p>
      <w:pPr>
        <w:jc w:val="both"/>
      </w:pPr>
      <w:r>
        <w:rPr>
          <w:b/>
        </w:rPr>
        <w:t xml:space="preserve">4.1 </w:t>
      </w:r>
      <w:r>
        <w:t>Conselho de Administração: aprovar esta Política e tomar ciência do relatório mensal de fraudes.</w:t>
      </w:r>
    </w:p>
    <w:p>
      <w:pPr>
        <w:jc w:val="both"/>
      </w:pPr>
      <w:r>
        <w:rPr>
          <w:b/>
        </w:rPr>
        <w:t xml:space="preserve">4.2 </w:t>
      </w:r>
      <w:r>
        <w:t>Diretoria Executiva: prover recursos e assegurar a aderência das áreas a esta Política.</w:t>
      </w:r>
    </w:p>
    <w:p>
      <w:pPr>
        <w:jc w:val="both"/>
      </w:pPr>
      <w:r>
        <w:rPr>
          <w:b/>
        </w:rPr>
        <w:t xml:space="preserve">4.3 </w:t>
      </w:r>
      <w:r>
        <w:t>Área de Prevenção a Fraudes: operar as regras de monitoramento, analisar alertas, tratar notificações de infração e propor ajustes de parâmetros.</w:t>
      </w:r>
    </w:p>
    <w:p>
      <w:pPr>
        <w:jc w:val="both"/>
      </w:pPr>
      <w:r>
        <w:rPr>
          <w:b/>
        </w:rPr>
        <w:t xml:space="preserve">4.4 </w:t>
      </w:r>
      <w:r>
        <w:t>Área de Operações: executar bloqueios, devoluções e restrições de conta determinados pela área de Prevenção a Fraudes.</w:t>
      </w:r>
    </w:p>
    <w:p>
      <w:pPr>
        <w:jc w:val="both"/>
      </w:pPr>
      <w:r>
        <w:rPr>
          <w:b/>
        </w:rPr>
        <w:t xml:space="preserve">4.5 </w:t>
      </w:r>
      <w:r>
        <w:t>Área Jurídica: acompanhar a regulamentação aplicável e as demandas judiciais relacionadas a fraudes.</w:t>
      </w:r>
    </w:p>
    <w:p>
      <w:pPr>
        <w:jc w:val="both"/>
      </w:pPr>
      <w:r>
        <w:rPr>
          <w:b/>
        </w:rPr>
        <w:t xml:space="preserve">4.6 </w:t>
      </w:r>
      <w:r>
        <w:t>Auditoria Interna: avaliar periodicamente a efetividade dos controles desta Política.</w:t>
      </w:r>
    </w:p>
    <w:p>
      <w:pPr>
        <w:pStyle w:val="Heading2"/>
      </w:pPr>
      <w:r>
        <w:t>5. Monitoramento de fraudes</w:t>
      </w:r>
    </w:p>
    <w:p>
      <w:pPr>
        <w:jc w:val="both"/>
      </w:pPr>
      <w:r>
        <w:rPr>
          <w:b/>
        </w:rPr>
        <w:t xml:space="preserve">5.1 </w:t>
      </w:r>
      <w:r>
        <w:t>A Instituição utiliza solução de gerenciamento de risco de fraude que contempla as informações de segurança armazenadas no DICT e identifica transações atípicas ou não compatíveis com o perfil do cliente.</w:t>
      </w:r>
    </w:p>
    <w:p>
      <w:pPr>
        <w:jc w:val="both"/>
      </w:pPr>
      <w:r>
        <w:rPr>
          <w:b/>
        </w:rPr>
        <w:t xml:space="preserve">5.2 </w:t>
      </w:r>
      <w:r>
        <w:t>A Instituição faculta aos clientes o estabelecimento de limites por período e o cadastro prévio de contas autorizadas a receber valores acima desses limites.</w:t>
      </w:r>
    </w:p>
    <w:p>
      <w:pPr>
        <w:jc w:val="both"/>
      </w:pPr>
      <w:r>
        <w:rPr>
          <w:b/>
        </w:rPr>
        <w:t xml:space="preserve">5.3 </w:t>
      </w:r>
      <w:r>
        <w:t>Transações iniciadas por clientes da Instituição com fundada suspeita de fraude podem ser rejeitadas, observado o limite de tempo diferenciado previsto no Manual de Tempos do Pix.</w:t>
      </w:r>
    </w:p>
    <w:p>
      <w:pPr>
        <w:jc w:val="both"/>
      </w:pPr>
      <w:r>
        <w:rPr>
          <w:b/>
        </w:rPr>
        <w:t xml:space="preserve">5.4 </w:t>
      </w:r>
      <w:r>
        <w:t>A avaliação de fraude concentra-se nas transações iniciadas pelos clientes da Instituição, segundo o perfil do pagador. A conta de destino é considerada apenas pela quantidade de notificações de infração vinculadas ao recebedor no DICT, como um dos fatores de pontuação.</w:t>
      </w:r>
    </w:p>
    <w:p>
      <w:pPr>
        <w:pStyle w:val="Heading2"/>
      </w:pPr>
      <w:r>
        <w:t>6. Pix: autenticação e segurança</w:t>
      </w:r>
    </w:p>
    <w:p>
      <w:pPr>
        <w:jc w:val="both"/>
      </w:pPr>
      <w:r>
        <w:rPr>
          <w:b/>
        </w:rPr>
        <w:t xml:space="preserve">6.1 </w:t>
      </w:r>
      <w:r>
        <w:t>A iniciação de transações Pix e os processos relativos a chaves Pix por clientes pessoa natural somente são aceitos a partir de dispositivo de acesso previamente cadastrado.</w:t>
      </w:r>
    </w:p>
    <w:p>
      <w:pPr>
        <w:jc w:val="both"/>
      </w:pPr>
      <w:r>
        <w:rPr>
          <w:b/>
        </w:rPr>
        <w:t xml:space="preserve">6.2 </w:t>
      </w:r>
      <w:r>
        <w:t>O acesso ao aplicativo exige autenticação com senha e fator adicional (biometria ou token).</w:t>
      </w:r>
    </w:p>
    <w:p>
      <w:pPr>
        <w:jc w:val="both"/>
      </w:pPr>
      <w:r>
        <w:rPr>
          <w:b/>
        </w:rPr>
        <w:t xml:space="preserve">6.3 </w:t>
      </w:r>
      <w:r>
        <w:t>A Instituição disponibiliza no aplicativo informações sobre os cuidados que os clientes devem ter para evitar fraudes.</w:t>
      </w:r>
    </w:p>
    <w:p>
      <w:pPr>
        <w:pStyle w:val="Heading2"/>
      </w:pPr>
      <w:r>
        <w:t>7. Abertura de contas</w:t>
      </w:r>
    </w:p>
    <w:p>
      <w:pPr>
        <w:jc w:val="both"/>
      </w:pPr>
      <w:r>
        <w:rPr>
          <w:b/>
        </w:rPr>
        <w:t xml:space="preserve">7.1 </w:t>
      </w:r>
      <w:r>
        <w:t>A abertura de conta exige validação de documento de identificação, biometria facial com prova de vida e consulta a bases públicas e privadas de dados cadastrais.</w:t>
      </w:r>
    </w:p>
    <w:p>
      <w:pPr>
        <w:jc w:val="both"/>
      </w:pPr>
      <w:r>
        <w:rPr>
          <w:b/>
        </w:rPr>
        <w:t xml:space="preserve">7.2 </w:t>
      </w:r>
      <w:r>
        <w:t>Contas abertas há menos de 30 dias operam com limites reduzidos de recebimento e de envio.</w:t>
      </w:r>
    </w:p>
    <w:p>
      <w:pPr>
        <w:pStyle w:val="Heading2"/>
      </w:pPr>
      <w:r>
        <w:t>8. Chaves Pix</w:t>
      </w:r>
    </w:p>
    <w:p>
      <w:pPr>
        <w:jc w:val="both"/>
      </w:pPr>
      <w:r>
        <w:rPr>
          <w:b/>
        </w:rPr>
        <w:t xml:space="preserve">8.1 </w:t>
      </w:r>
      <w:r>
        <w:t>O registro de chave Pix é solicitado ao DICT a pedido do cliente.</w:t>
      </w:r>
    </w:p>
    <w:p>
      <w:pPr>
        <w:jc w:val="both"/>
      </w:pPr>
      <w:r>
        <w:rPr>
          <w:b/>
        </w:rPr>
        <w:t xml:space="preserve">8.2 </w:t>
      </w:r>
      <w:r>
        <w:t>A Instituição poderá rejeitar pedido de registro de chave Pix de cliente com notificação de infração armazenada no DICT, a critério da área de Prevenção a Fraudes, comunicando ao cliente o motivo da rejeição.</w:t>
      </w:r>
    </w:p>
    <w:p>
      <w:pPr>
        <w:jc w:val="both"/>
      </w:pPr>
      <w:r>
        <w:rPr>
          <w:b/>
        </w:rPr>
        <w:t xml:space="preserve">8.3 </w:t>
      </w:r>
      <w:r>
        <w:t>Os pedidos de portabilidade e de reivindicação de posse de chave Pix são processados conforme o Manual Operacional do DICT.</w:t>
      </w:r>
    </w:p>
    <w:p>
      <w:pPr>
        <w:pStyle w:val="Heading2"/>
      </w:pPr>
      <w:r>
        <w:t>9. Bloqueio cautelar</w:t>
      </w:r>
    </w:p>
    <w:p>
      <w:pPr>
        <w:jc w:val="both"/>
      </w:pPr>
      <w:r>
        <w:rPr>
          <w:b/>
        </w:rPr>
        <w:t xml:space="preserve">9.1 </w:t>
      </w:r>
      <w:r>
        <w:t>Havendo suspeita de fraude, os recursos recebidos via Pix são bloqueados cautelarmente, simultaneamente ao crédito, pelo prazo máximo de 72 horas, com comunicação imediata ao cliente.</w:t>
      </w:r>
    </w:p>
    <w:p>
      <w:pPr>
        <w:jc w:val="both"/>
      </w:pPr>
      <w:r>
        <w:rPr>
          <w:b/>
        </w:rPr>
        <w:t xml:space="preserve">9.2 </w:t>
      </w:r>
      <w:r>
        <w:t>Durante o bloqueio, a área de Prevenção a Fraudes avalia os indícios. Confirmada a fundada suspeita, os recursos são devolvidos pelo Mecanismo Especial de Devolução; caso contrário, o bloqueio cessa imediatamente.</w:t>
      </w:r>
    </w:p>
    <w:p>
      <w:pPr>
        <w:jc w:val="both"/>
      </w:pPr>
      <w:r>
        <w:rPr>
          <w:b/>
        </w:rPr>
        <w:t xml:space="preserve">9.3 </w:t>
      </w:r>
      <w:r>
        <w:t>A possibilidade de bloqueio cautelar consta, em cláusula destacada, do contrato de conta.</w:t>
      </w:r>
    </w:p>
    <w:p>
      <w:pPr>
        <w:pStyle w:val="Heading2"/>
      </w:pPr>
      <w:r>
        <w:t>10. Mecanismo Especial de Devolução (MED)</w:t>
      </w:r>
    </w:p>
    <w:p>
      <w:pPr>
        <w:jc w:val="both"/>
      </w:pPr>
      <w:r>
        <w:rPr>
          <w:b/>
        </w:rPr>
        <w:t xml:space="preserve">10.1 </w:t>
      </w:r>
      <w:r>
        <w:t>Recebida reclamação de cliente pagador com fundada suspeita de fraude, a Instituição abre notificação de infração e solicitação de devolução no DICT.</w:t>
      </w:r>
    </w:p>
    <w:p>
      <w:pPr>
        <w:jc w:val="both"/>
      </w:pPr>
      <w:r>
        <w:rPr>
          <w:b/>
        </w:rPr>
        <w:t xml:space="preserve">10.2 </w:t>
      </w:r>
      <w:r>
        <w:t>Recebida notificação de infração na qualidade de prestadora do recebedor, a Instituição bloqueia o saldo disponível na conta do recebedor no momento do recebimento da notificação, até o valor solicitado, observados os prazos do Manual Operacional do DICT.</w:t>
      </w:r>
    </w:p>
    <w:p>
      <w:pPr>
        <w:jc w:val="both"/>
      </w:pPr>
      <w:r>
        <w:rPr>
          <w:b/>
        </w:rPr>
        <w:t xml:space="preserve">10.3 </w:t>
      </w:r>
      <w:r>
        <w:t>O MED alcança exclusivamente a conta que recebeu diretamente a transação contestada. Recursos já transferidos pelo recebedor a outras contas não são objeto de bloqueio ou de devolução pela Instituição.</w:t>
      </w:r>
    </w:p>
    <w:p>
      <w:pPr>
        <w:jc w:val="both"/>
      </w:pPr>
      <w:r>
        <w:rPr>
          <w:b/>
        </w:rPr>
        <w:t xml:space="preserve">10.4 </w:t>
      </w:r>
      <w:r>
        <w:t>Aceita a notificação de infração, a devolução é efetuada a partir da conta do recebedor, nos prazos do Manual Operacional do DICT.</w:t>
      </w:r>
    </w:p>
    <w:p>
      <w:pPr>
        <w:jc w:val="both"/>
      </w:pPr>
      <w:r>
        <w:rPr>
          <w:b/>
        </w:rPr>
        <w:t xml:space="preserve">10.5 </w:t>
      </w:r>
      <w:r>
        <w:t>A possibilidade de bloqueios e devoluções, inclusive parciais, consta, em cláusula destacada, do contrato de conta.</w:t>
      </w:r>
    </w:p>
    <w:p>
      <w:pPr>
        <w:pStyle w:val="Heading2"/>
      </w:pPr>
      <w:r>
        <w:t>11. Restrições a contas notificadas</w:t>
      </w:r>
    </w:p>
    <w:p>
      <w:pPr>
        <w:jc w:val="both"/>
      </w:pPr>
      <w:r>
        <w:rPr>
          <w:b/>
        </w:rPr>
        <w:t xml:space="preserve">11.1 </w:t>
      </w:r>
      <w:r>
        <w:t>Aceita notificação de infração, a área de Operações restringe as transações Pix da conta envolvida, ressalvadas as devoluções.</w:t>
      </w:r>
    </w:p>
    <w:p>
      <w:pPr>
        <w:jc w:val="both"/>
      </w:pPr>
      <w:r>
        <w:rPr>
          <w:b/>
        </w:rPr>
        <w:t xml:space="preserve">11.2 </w:t>
      </w:r>
      <w:r>
        <w:t>Pedidos de revisão de restrição apresentados pelo cliente são analisados pela área de Prevenção a Fraudes, sem prazo predeterminado.</w:t>
      </w:r>
    </w:p>
    <w:p>
      <w:pPr>
        <w:pStyle w:val="Heading2"/>
      </w:pPr>
      <w:r>
        <w:t>12. Registros e reporte</w:t>
      </w:r>
    </w:p>
    <w:p>
      <w:pPr>
        <w:jc w:val="both"/>
      </w:pPr>
      <w:r>
        <w:rPr>
          <w:b/>
        </w:rPr>
        <w:t xml:space="preserve">12.1 </w:t>
      </w:r>
      <w:r>
        <w:t>A área de Prevenção a Fraudes mantém registros diários das ocorrências de fraude e de tentativas de fraude, com as medidas corretivas adotadas.</w:t>
      </w:r>
    </w:p>
    <w:p>
      <w:pPr>
        <w:jc w:val="both"/>
      </w:pPr>
      <w:r>
        <w:rPr>
          <w:b/>
        </w:rPr>
        <w:t xml:space="preserve">12.2 </w:t>
      </w:r>
      <w:r>
        <w:t>Mensalmente é elaborado relatório consolidado das ocorrências e das medidas preventivas e corretivas, encaminhado ao Comitê de Riscos, à Auditoria Interna, à Diretoria Executiva e ao Conselho de Administração.</w:t>
      </w:r>
    </w:p>
    <w:p>
      <w:pPr>
        <w:pStyle w:val="Heading2"/>
      </w:pPr>
      <w:r>
        <w:t>13. Treinamento e conscientização</w:t>
      </w:r>
    </w:p>
    <w:p>
      <w:pPr>
        <w:jc w:val="both"/>
      </w:pPr>
      <w:r>
        <w:rPr>
          <w:b/>
        </w:rPr>
        <w:t xml:space="preserve">13.1 </w:t>
      </w:r>
      <w:r>
        <w:t>Os colaboradores das áreas de atendimento, operações e prevenção a fraudes passam por treinamento anual sobre esta Política.</w:t>
      </w:r>
    </w:p>
    <w:p>
      <w:pPr>
        <w:jc w:val="both"/>
      </w:pPr>
      <w:r>
        <w:rPr>
          <w:b/>
        </w:rPr>
        <w:t xml:space="preserve">13.2 </w:t>
      </w:r>
      <w:r>
        <w:t>A Instituição mantém campanhas periódicas de conscientização de clientes sobre golpes.</w:t>
      </w:r>
    </w:p>
    <w:p>
      <w:pPr>
        <w:pStyle w:val="Heading2"/>
      </w:pPr>
      <w:r>
        <w:t>14. Revisão</w:t>
      </w:r>
    </w:p>
    <w:p>
      <w:pPr>
        <w:jc w:val="both"/>
      </w:pPr>
      <w:r>
        <w:rPr>
          <w:b/>
        </w:rPr>
        <w:t xml:space="preserve">14.1 </w:t>
      </w:r>
      <w:r>
        <w:t>Esta Política é revista anualmente ou sempre que houver alteração relevante da regulamentação aplicável.</w:t>
      </w:r>
    </w:p>
    <w:p/>
    <w:p>
      <w:r>
        <w:t>Histórico de versões: 1.0 (nov. 2021); 2.0 (jan. 2023); 3.0 (mar. 2025, revisão anual e adequação às Resoluções BCB nº 402/2024, 403/2024 e 425/2024).</w:t>
      </w:r>
    </w:p>
    <w:p>
      <w:pPr>
        <w:jc w:val="center"/>
      </w:pPr>
      <w:r>
        <w:rPr>
          <w:b/>
          <w:color w:val="C00000"/>
        </w:rPr>
        <w:t>DOCUMENTO DE EXEMPLO, SEM RELAÇÃO COM INSTITUIÇÃO REAL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</w:rPr>
      <w:t>DOCUMENTO DE EXEMPLO, SEM RELAÇÃO COM INSTITUIÇÃO REAL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00000"/>
      </w:rPr>
      <w:t>DOCUMENTO DE EXEMPLO, SEM RELAÇÃO COM INSTITUIÇÃO REAL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