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6F4C"/>
          <w:sz w:val="64"/>
          <w:szCs w:val="64"/>
        </w:rPr>
        <w:t xml:space="preserve">EaseTrading</w:t>
      </w:r>
    </w:p>
    <w:p>
      <w:pPr>
        <w:spacing w:after="60"/>
        <w:jc w:val="center"/>
      </w:pPr>
      <w:r>
        <w:rPr>
          <w:color w:val="0B3D2E"/>
          <w:sz w:val="32"/>
          <w:szCs w:val="32"/>
        </w:rPr>
        <w:t xml:space="preserve">AI-Assisted Stock Analysis &amp; Trading Platform</w:t>
      </w:r>
    </w:p>
    <w:p>
      <w:pPr>
        <w:spacing w:after="600"/>
        <w:jc w:val="center"/>
      </w:pPr>
      <w:r>
        <w:rPr>
          <w:color w:val="555555"/>
          <w:sz w:val="26"/>
          <w:szCs w:val="26"/>
        </w:rPr>
        <w:t xml:space="preserve">for the Indian Markets (NSE &amp; BSE)</w:t>
      </w:r>
    </w:p>
    <w:p>
      <w:pPr>
        <w:spacing w:after="40"/>
        <w:jc w:val="center"/>
      </w:pPr>
      <w:r>
        <w:rPr>
          <w:b/>
          <w:bCs/>
          <w:sz w:val="30"/>
          <w:szCs w:val="30"/>
        </w:rPr>
        <w:t xml:space="preserve">HIGH-LEVEL DESIGN (HLD)</w:t>
      </w:r>
    </w:p>
    <w:p>
      <w:pPr>
        <w:spacing w:after="1000"/>
        <w:jc w:val="center"/>
      </w:pPr>
      <w:r>
        <w:rPr>
          <w:color w:val="777777"/>
          <w:sz w:val="22"/>
          <w:szCs w:val="22"/>
        </w:rPr>
        <w:t xml:space="preserve">Version 1.0  ·  Document 1 of 3 (HLD → LLD →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Field</w:t>
            </w:r>
          </w:p>
        </w:tc>
        <w:tc>
          <w:tcPr>
            <w:tcW w:type="dxa" w:w="624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Detail</w:t>
            </w:r>
          </w:p>
        </w:tc>
      </w:tr>
      <w:tr>
        <w:trPr>
          <w:tblHeader w:val="false"/>
        </w:trPr>
        <w:tc>
          <w:tcPr>
            <w:tcW w:type="dxa" w:w="312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Project</w:t>
            </w:r>
          </w:p>
        </w:tc>
        <w:tc>
          <w:tcPr>
            <w:tcW w:type="dxa" w:w="624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EaseTrading — personal trading &amp; analysis dashboard</w:t>
            </w:r>
          </w:p>
        </w:tc>
      </w:tr>
      <w:tr>
        <w:trPr>
          <w:tblHeader w:val="false"/>
        </w:trPr>
        <w:tc>
          <w:tcPr>
            <w:tcW w:type="dxa" w:w="312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Owner</w:t>
            </w:r>
          </w:p>
        </w:tc>
        <w:tc>
          <w:tcPr>
            <w:tcW w:type="dxa" w:w="624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Shivansh</w:t>
            </w:r>
          </w:p>
        </w:tc>
      </w:tr>
      <w:tr>
        <w:trPr>
          <w:tblHeader w:val="false"/>
        </w:trPr>
        <w:tc>
          <w:tcPr>
            <w:tcW w:type="dxa" w:w="312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Date</w:t>
            </w:r>
          </w:p>
        </w:tc>
        <w:tc>
          <w:tcPr>
            <w:tcW w:type="dxa" w:w="624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20 June 2026</w:t>
            </w:r>
          </w:p>
        </w:tc>
      </w:tr>
      <w:tr>
        <w:trPr>
          <w:tblHeader w:val="false"/>
        </w:trPr>
        <w:tc>
          <w:tcPr>
            <w:tcW w:type="dxa" w:w="312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Status</w:t>
            </w:r>
          </w:p>
        </w:tc>
        <w:tc>
          <w:tcPr>
            <w:tcW w:type="dxa" w:w="624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Draft for review</w:t>
            </w:r>
          </w:p>
        </w:tc>
      </w:tr>
      <w:tr>
        <w:trPr>
          <w:tblHeader w:val="false"/>
        </w:trPr>
        <w:tc>
          <w:tcPr>
            <w:tcW w:type="dxa" w:w="312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Broker / Data API</w:t>
            </w:r>
          </w:p>
        </w:tc>
        <w:tc>
          <w:tcPr>
            <w:tcW w:type="dxa" w:w="624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Angel One SmartAPI (free)</w:t>
            </w:r>
          </w:p>
        </w:tc>
      </w:tr>
      <w:tr>
        <w:trPr>
          <w:tblHeader w:val="false"/>
        </w:trPr>
        <w:tc>
          <w:tcPr>
            <w:tcW w:type="dxa" w:w="312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Frontend</w:t>
            </w:r>
          </w:p>
        </w:tc>
        <w:tc>
          <w:tcPr>
            <w:tcW w:type="dxa" w:w="624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Next.js (React) — fully responsive</w:t>
            </w:r>
          </w:p>
        </w:tc>
      </w:tr>
      <w:tr>
        <w:trPr>
          <w:tblHeader w:val="false"/>
        </w:trPr>
        <w:tc>
          <w:tcPr>
            <w:tcW w:type="dxa" w:w="312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Backend</w:t>
            </w:r>
          </w:p>
        </w:tc>
        <w:tc>
          <w:tcPr>
            <w:tcW w:type="dxa" w:w="624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Java Spring Boot (core) + Python (analysis/quant)</w:t>
            </w:r>
          </w:p>
        </w:tc>
      </w:tr>
      <w:tr>
        <w:trPr>
          <w:tblHeader w:val="false"/>
        </w:trPr>
        <w:tc>
          <w:tcPr>
            <w:tcW w:type="dxa" w:w="312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Scope (v1)</w:t>
            </w:r>
          </w:p>
        </w:tc>
        <w:tc>
          <w:tcPr>
            <w:tcW w:type="dxa" w:w="624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Live data + charts + screening + AI analysis + alerts + live trading</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Vision</w:t>
      </w:r>
    </w:p>
    <w:p>
      <w:pPr>
        <w:spacing w:after="120" w:line="276"/>
      </w:pPr>
      <w:r>
        <w:t xml:space="preserve">EaseTrading is a personal trading and analysis platform for the Indian stock market (NSE and BSE). It is not only a dashboard for viewing live prices and charts — its core value is automated, deep analysis that screens stocks against fundamental and technical rules and then produces a clear, human-readable verdict on whether a stock is likely to rise or fall.</w:t>
      </w:r>
    </w:p>
    <w:p>
      <w:pPr>
        <w:spacing w:after="120" w:line="276"/>
      </w:pPr>
      <w:r>
        <w:t xml:space="preserve">The platform combines two things. First, a </w:t>
      </w:r>
      <w:r>
        <w:rPr>
          <w:b/>
          <w:bCs/>
        </w:rPr>
        <w:t xml:space="preserve">deterministic rule and quant engine</w:t>
      </w:r>
      <w:r>
        <w:t xml:space="preserve"> computes the hard numbers — Fibonacci levels, moving averages, RSI/MACD, P/E, ROE, FII/DII holdings, profit growth and so on. Second, a </w:t>
      </w:r>
      <w:r>
        <w:rPr>
          <w:b/>
          <w:bCs/>
        </w:rPr>
        <w:t xml:space="preserve">Large Language Model (LLM) layer</w:t>
      </w:r>
      <w:r>
        <w:t xml:space="preserve"> turns those numbers into an analyst-style memo written in the voice of world-class investment desks (Morgan Stanley, Bridgewater, Citadel, etc.). This is the “rules + LLM hybrid” approach: the math is always reproducible, and the narrative is always readable.</w:t>
      </w:r>
    </w:p>
    <w:p>
      <w:pPr>
        <w:spacing w:after="120" w:line="276"/>
      </w:pPr>
      <w:r>
        <w:t xml:space="preserve">In plain terms: the numbers are calculated by code so they are never “made up”, and the explanation is written by an AI so it reads like advice from the greatest investors of all time.</w:t>
      </w:r>
    </w:p>
    <w:p>
      <w:pPr>
        <w:pStyle w:val="Heading1"/>
      </w:pPr>
      <w:r>
        <w:t xml:space="preserve">2. Goals &amp; Non-Goals</w:t>
      </w:r>
    </w:p>
    <w:p>
      <w:pPr>
        <w:pStyle w:val="Heading2"/>
      </w:pPr>
      <w:r>
        <w:t xml:space="preserve">2.1 Goals (v1)</w:t>
      </w:r>
    </w:p>
    <w:p>
      <w:pPr>
        <w:pStyle w:val="ListParagraph"/>
        <w:numPr>
          <w:ilvl w:val="0"/>
          <w:numId w:val="2"/>
        </w:numPr>
        <w:spacing w:after="60" w:line="276"/>
      </w:pPr>
      <w:r>
        <w:t xml:space="preserve">Live and historical market data for NSE &amp; BSE via Angel One SmartAPI.</w:t>
      </w:r>
    </w:p>
    <w:p>
      <w:pPr>
        <w:pStyle w:val="ListParagraph"/>
        <w:numPr>
          <w:ilvl w:val="0"/>
          <w:numId w:val="2"/>
        </w:numPr>
        <w:spacing w:after="60" w:line="276"/>
      </w:pPr>
      <w:r>
        <w:t xml:space="preserve">Responsive web dashboard with interactive charts and watchlists.</w:t>
      </w:r>
    </w:p>
    <w:p>
      <w:pPr>
        <w:pStyle w:val="ListParagraph"/>
        <w:numPr>
          <w:ilvl w:val="0"/>
          <w:numId w:val="2"/>
        </w:numPr>
        <w:spacing w:after="60" w:line="276"/>
      </w:pPr>
      <w:r>
        <w:t xml:space="preserve">Fundamental screening engine: P/E &lt; 30, ROE &gt; 25%, positive EPS, FII &amp; DII holding &gt; 5%, positive profit growth, and more.</w:t>
      </w:r>
    </w:p>
    <w:p>
      <w:pPr>
        <w:pStyle w:val="ListParagraph"/>
        <w:numPr>
          <w:ilvl w:val="0"/>
          <w:numId w:val="2"/>
        </w:numPr>
        <w:spacing w:after="60" w:line="276"/>
      </w:pPr>
      <w:r>
        <w:t xml:space="preserve">Technical analysis engine: Fibonacci retracements, support/resistance, 50/100/200-day MAs, RSI, MACD, Bollinger Bands, volume and pattern detection.</w:t>
      </w:r>
    </w:p>
    <w:p>
      <w:pPr>
        <w:pStyle w:val="ListParagraph"/>
        <w:numPr>
          <w:ilvl w:val="0"/>
          <w:numId w:val="2"/>
        </w:numPr>
        <w:spacing w:after="60" w:line="276"/>
      </w:pPr>
      <w:r>
        <w:t xml:space="preserve">Ten analysis strategies (the nine investor personas + the “Black Box”) producing per-stock verdicts.</w:t>
      </w:r>
    </w:p>
    <w:p>
      <w:pPr>
        <w:pStyle w:val="ListParagraph"/>
        <w:numPr>
          <w:ilvl w:val="0"/>
          <w:numId w:val="2"/>
        </w:numPr>
        <w:spacing w:after="60" w:line="276"/>
      </w:pPr>
      <w:r>
        <w:t xml:space="preserve">AI-written analysis memo with a clear rating: Strong Buy / Buy / Neutral / Sell / Strong Sell.</w:t>
      </w:r>
    </w:p>
    <w:p>
      <w:pPr>
        <w:pStyle w:val="ListParagraph"/>
        <w:numPr>
          <w:ilvl w:val="0"/>
          <w:numId w:val="2"/>
        </w:numPr>
        <w:spacing w:after="60" w:line="276"/>
      </w:pPr>
      <w:r>
        <w:t xml:space="preserve">Price, indicator and signal alerts (in-app + email/push).</w:t>
      </w:r>
    </w:p>
    <w:p>
      <w:pPr>
        <w:pStyle w:val="ListParagraph"/>
        <w:numPr>
          <w:ilvl w:val="0"/>
          <w:numId w:val="2"/>
        </w:numPr>
        <w:spacing w:after="60" w:line="276"/>
      </w:pPr>
      <w:r>
        <w:t xml:space="preserve">Live trading: place, modify and cancel orders through Angel One, with safety controls.</w:t>
      </w:r>
    </w:p>
    <w:p>
      <w:pPr>
        <w:pStyle w:val="ListParagraph"/>
        <w:numPr>
          <w:ilvl w:val="0"/>
          <w:numId w:val="2"/>
        </w:numPr>
        <w:spacing w:after="60" w:line="276"/>
      </w:pPr>
      <w:r>
        <w:t xml:space="preserve">Portfolio tracking and a portfolio-level risk view.</w:t>
      </w:r>
    </w:p>
    <w:p>
      <w:pPr>
        <w:pStyle w:val="Heading2"/>
      </w:pPr>
      <w:r>
        <w:t xml:space="preserve">2.2 Non-Goals (v1)</w:t>
      </w:r>
    </w:p>
    <w:p>
      <w:pPr>
        <w:pStyle w:val="ListParagraph"/>
        <w:numPr>
          <w:ilvl w:val="0"/>
          <w:numId w:val="2"/>
        </w:numPr>
        <w:spacing w:after="60" w:line="276"/>
      </w:pPr>
      <w:r>
        <w:t xml:space="preserve">Not a multi-tenant SaaS yet — built for personal use first, but architected so a second user can be added later with minimal change.</w:t>
      </w:r>
    </w:p>
    <w:p>
      <w:pPr>
        <w:pStyle w:val="ListParagraph"/>
        <w:numPr>
          <w:ilvl w:val="0"/>
          <w:numId w:val="2"/>
        </w:numPr>
        <w:spacing w:after="60" w:line="276"/>
      </w:pPr>
      <w:r>
        <w:t xml:space="preserve">No fully autonomous “auto-pilot” trading that places orders without your confirmation. Every live order requires explicit approval in v1.</w:t>
      </w:r>
    </w:p>
    <w:p>
      <w:pPr>
        <w:pStyle w:val="ListParagraph"/>
        <w:numPr>
          <w:ilvl w:val="0"/>
          <w:numId w:val="2"/>
        </w:numPr>
        <w:spacing w:after="60" w:line="276"/>
      </w:pPr>
      <w:r>
        <w:t xml:space="preserve">No guarantee of profit. The AI verdict is decision support, not financial advice.</w:t>
      </w:r>
    </w:p>
    <w:p>
      <w:pPr>
        <w:pStyle w:val="ListParagraph"/>
        <w:numPr>
          <w:ilvl w:val="0"/>
          <w:numId w:val="2"/>
        </w:numPr>
        <w:spacing w:after="60" w:line="276"/>
      </w:pPr>
      <w:r>
        <w:t xml:space="preserve">No derivatives-heavy strategy modelling (options Greeks engine) in v1 — basic options data only.</w:t>
      </w:r>
    </w:p>
    <w:p>
      <w:pPr>
        <w:spacing w:after="120" w:line="276"/>
      </w:pPr>
      <w:r>
        <w:rPr>
          <w:b/>
          <w:bCs/>
        </w:rPr>
        <w:t xml:space="preserve">Important compliance note: </w:t>
      </w:r>
      <w:r>
        <w:t xml:space="preserve">EaseTrading is a decision-support tool. It does not provide SEBI-registered investment advice. Live order placement is a sensitive action and every order requires explicit human confirmation.</w:t>
      </w:r>
    </w:p>
    <w:p>
      <w:pPr>
        <w:pStyle w:val="Heading1"/>
      </w:pPr>
      <w:r>
        <w:t xml:space="preserve">3. Key Design Decisions</w:t>
      </w:r>
    </w:p>
    <w:p>
      <w:pPr>
        <w:spacing w:after="120" w:line="276"/>
      </w:pPr>
      <w:r>
        <w:t xml:space="preserve">These choices were confirmed up front and drive the rest of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Decision</w:t>
            </w:r>
          </w:p>
        </w:tc>
        <w:tc>
          <w:tcPr>
            <w:tcW w:type="dxa" w:w="35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Choice</w:t>
            </w:r>
          </w:p>
        </w:tc>
        <w:tc>
          <w:tcPr>
            <w:tcW w:type="dxa" w:w="326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Why</w:t>
            </w:r>
          </w:p>
        </w:tc>
      </w:tr>
      <w:tr>
        <w:trPr>
          <w:tblHeader w:val="false"/>
        </w:trPr>
        <w:tc>
          <w:tcPr>
            <w:tcW w:type="dxa" w:w="2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Analysis engine</w:t>
            </w:r>
          </w:p>
        </w:tc>
        <w:tc>
          <w:tcPr>
            <w:tcW w:type="dxa" w:w="35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Rules + LLM hybrid</w:t>
            </w:r>
          </w:p>
        </w:tc>
        <w:tc>
          <w:tcPr>
            <w:tcW w:type="dxa" w:w="32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Hard numbers are deterministic &amp; auditable; LLM writes the analyst-style verdict.</w:t>
            </w:r>
          </w:p>
        </w:tc>
      </w:tr>
      <w:tr>
        <w:trPr>
          <w:tblHeader w:val="false"/>
        </w:trPr>
        <w:tc>
          <w:tcPr>
            <w:tcW w:type="dxa" w:w="26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LLM provider</w:t>
            </w:r>
          </w:p>
        </w:tc>
        <w:tc>
          <w:tcPr>
            <w:tcW w:type="dxa" w:w="35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Claude only (Anthropic), via MCP</w:t>
            </w:r>
          </w:p>
        </w:tc>
        <w:tc>
          <w:tcPr>
            <w:tcW w:type="dxa" w:w="32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Trusted model; connected through an MCP tool server so Claude can pull live platform data itself.</w:t>
            </w:r>
          </w:p>
        </w:tc>
      </w:tr>
      <w:tr>
        <w:trPr>
          <w:tblHeader w:val="false"/>
        </w:trPr>
        <w:tc>
          <w:tcPr>
            <w:tcW w:type="dxa" w:w="2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LLM access / cost</w:t>
            </w:r>
          </w:p>
        </w:tc>
        <w:tc>
          <w:tcPr>
            <w:tcW w:type="dxa" w:w="35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Claude Agent SDK on Pro subscription (no paid API)</w:t>
            </w:r>
          </w:p>
        </w:tc>
        <w:tc>
          <w:tcPr>
            <w:tcW w:type="dxa" w:w="32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Uses the existing Pro plan login instead of pay-as-you-go API — $0 extra. On-demand only.</w:t>
            </w:r>
          </w:p>
        </w:tc>
      </w:tr>
      <w:tr>
        <w:trPr>
          <w:tblHeader w:val="false"/>
        </w:trPr>
        <w:tc>
          <w:tcPr>
            <w:tcW w:type="dxa" w:w="26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Deployment</w:t>
            </w:r>
          </w:p>
        </w:tc>
        <w:tc>
          <w:tcPr>
            <w:tcW w:type="dxa" w:w="35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Single-user now, multi-tenant ready</w:t>
            </w:r>
          </w:p>
        </w:tc>
        <w:tc>
          <w:tcPr>
            <w:tcW w:type="dxa" w:w="32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You use it today; a second user can be onboarded later without re-architecting.</w:t>
            </w:r>
          </w:p>
        </w:tc>
      </w:tr>
      <w:tr>
        <w:trPr>
          <w:tblHeader w:val="false"/>
        </w:trPr>
        <w:tc>
          <w:tcPr>
            <w:tcW w:type="dxa" w:w="2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Trading scope</w:t>
            </w:r>
          </w:p>
        </w:tc>
        <w:tc>
          <w:tcPr>
            <w:tcW w:type="dxa" w:w="35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Analysis + live trading + alerts</w:t>
            </w:r>
          </w:p>
        </w:tc>
        <w:tc>
          <w:tcPr>
            <w:tcW w:type="dxa" w:w="32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Full workflow: find → decide → act → monitor.</w:t>
            </w:r>
          </w:p>
        </w:tc>
      </w:tr>
      <w:tr>
        <w:trPr>
          <w:tblHeader w:val="false"/>
        </w:trPr>
        <w:tc>
          <w:tcPr>
            <w:tcW w:type="dxa" w:w="26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Frontend</w:t>
            </w:r>
          </w:p>
        </w:tc>
        <w:tc>
          <w:tcPr>
            <w:tcW w:type="dxa" w:w="35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Next.js (React)</w:t>
            </w:r>
          </w:p>
        </w:tc>
        <w:tc>
          <w:tcPr>
            <w:tcW w:type="dxa" w:w="32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Responsive, fast, strong charting ecosystem.</w:t>
            </w:r>
          </w:p>
        </w:tc>
      </w:tr>
      <w:tr>
        <w:trPr>
          <w:tblHeader w:val="false"/>
        </w:trPr>
        <w:tc>
          <w:tcPr>
            <w:tcW w:type="dxa" w:w="2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Core backend</w:t>
            </w:r>
          </w:p>
        </w:tc>
        <w:tc>
          <w:tcPr>
            <w:tcW w:type="dxa" w:w="35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Java Spring Boot</w:t>
            </w:r>
          </w:p>
        </w:tc>
        <w:tc>
          <w:tcPr>
            <w:tcW w:type="dxa" w:w="32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Robust, typed, great for order/risk/business logic.</w:t>
            </w:r>
          </w:p>
        </w:tc>
      </w:tr>
      <w:tr>
        <w:trPr>
          <w:tblHeader w:val="false"/>
        </w:trPr>
        <w:tc>
          <w:tcPr>
            <w:tcW w:type="dxa" w:w="26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Quant/AI service</w:t>
            </w:r>
          </w:p>
        </w:tc>
        <w:tc>
          <w:tcPr>
            <w:tcW w:type="dxa" w:w="35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Python (FastAPI)</w:t>
            </w:r>
          </w:p>
        </w:tc>
        <w:tc>
          <w:tcPr>
            <w:tcW w:type="dxa" w:w="32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Best libraries for indicators, data science &amp; LLM calls.</w:t>
            </w:r>
          </w:p>
        </w:tc>
      </w:tr>
      <w:tr>
        <w:trPr>
          <w:tblHeader w:val="false"/>
        </w:trPr>
        <w:tc>
          <w:tcPr>
            <w:tcW w:type="dxa" w:w="2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LLM</w:t>
            </w:r>
          </w:p>
        </w:tc>
        <w:tc>
          <w:tcPr>
            <w:tcW w:type="dxa" w:w="35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Claude (Anthropic API) via MCP</w:t>
            </w:r>
          </w:p>
        </w:tc>
        <w:tc>
          <w:tcPr>
            <w:tcW w:type="dxa" w:w="32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Writes every analyst-style verdict; no other LLM used.</w:t>
            </w:r>
          </w:p>
        </w:tc>
      </w:tr>
      <w:tr>
        <w:trPr>
          <w:tblHeader w:val="false"/>
        </w:trPr>
        <w:tc>
          <w:tcPr>
            <w:tcW w:type="dxa" w:w="26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Data source</w:t>
            </w:r>
          </w:p>
        </w:tc>
        <w:tc>
          <w:tcPr>
            <w:tcW w:type="dxa" w:w="35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Angel One SmartAPI</w:t>
            </w:r>
          </w:p>
        </w:tc>
        <w:tc>
          <w:tcPr>
            <w:tcW w:type="dxa" w:w="32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Free, official, covers live + historical + orders.</w:t>
            </w:r>
          </w:p>
        </w:tc>
      </w:tr>
    </w:tbl>
    <w:p>
      <w:pPr>
        <w:pStyle w:val="Heading1"/>
      </w:pPr>
      <w:r>
        <w:t xml:space="preserve">4. High-Level Architecture</w:t>
      </w:r>
    </w:p>
    <w:p>
      <w:pPr>
        <w:spacing w:after="120" w:line="276"/>
      </w:pPr>
      <w:r>
        <w:t xml:space="preserve">The system is split into clear layers so each part can be built, tested and scaled independently. A polyglot design is used on purpose: Java Spring Boot handles core business logic and trading; Python handles quantitative computation and the LLM.</w:t>
      </w:r>
    </w:p>
    <w:p>
      <w:pPr>
        <w:pStyle w:val="Heading2"/>
      </w:pPr>
      <w:r>
        <w:t xml:space="preserve">4.1 Layered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Layer</w:t>
            </w:r>
          </w:p>
        </w:tc>
        <w:tc>
          <w:tcPr>
            <w:tcW w:type="dxa" w:w="696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What lives here</w:t>
            </w:r>
          </w:p>
        </w:tc>
      </w:tr>
      <w:tr>
        <w:trPr>
          <w:tblHeader w:val="false"/>
        </w:trPr>
        <w:tc>
          <w:tcPr>
            <w:tcW w:type="dxa" w:w="24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bCs/>
              </w:rPr>
              <w:t xml:space="preserve">1. Client (Browser)</w:t>
            </w:r>
          </w:p>
        </w:tc>
        <w:tc>
          <w:tcPr>
            <w:tcW w:type="dxa" w:w="69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Next.js responsive UI: dashboard, charts, screener, stock-analysis report, watchlist, portfolio, alerts, order ticket. Works on desktop, tablet and mobile.</w:t>
            </w:r>
          </w:p>
        </w:tc>
      </w:tr>
      <w:tr>
        <w:trPr>
          <w:tblHeader w:val="false"/>
        </w:trPr>
        <w:tc>
          <w:tcPr>
            <w:tcW w:type="dxa" w:w="24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bCs/>
              </w:rPr>
              <w:t xml:space="preserve">2. API Gateway / BFF</w:t>
            </w:r>
          </w:p>
        </w:tc>
        <w:tc>
          <w:tcPr>
            <w:tcW w:type="dxa" w:w="69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Next.js API routes / Spring Cloud Gateway. Single entry point, auth check, request routing, rate limiting.</w:t>
            </w:r>
          </w:p>
        </w:tc>
      </w:tr>
      <w:tr>
        <w:trPr>
          <w:tblHeader w:val="false"/>
        </w:trPr>
        <w:tc>
          <w:tcPr>
            <w:tcW w:type="dxa" w:w="24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bCs/>
              </w:rPr>
              <w:t xml:space="preserve">3. Core Backend (Spring Boot)</w:t>
            </w:r>
          </w:p>
        </w:tc>
        <w:tc>
          <w:tcPr>
            <w:tcW w:type="dxa" w:w="69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User &amp; auth, broker session management, order management, portfolio, watchlists, alerts engine, persistence. Orchestrates calls to the Analysis service.</w:t>
            </w:r>
          </w:p>
        </w:tc>
      </w:tr>
      <w:tr>
        <w:trPr>
          <w:tblHeader w:val="false"/>
        </w:trPr>
        <w:tc>
          <w:tcPr>
            <w:tcW w:type="dxa" w:w="24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bCs/>
              </w:rPr>
              <w:t xml:space="preserve">4. Analysis Service (Python/FastAPI)</w:t>
            </w:r>
          </w:p>
        </w:tc>
        <w:tc>
          <w:tcPr>
            <w:tcW w:type="dxa" w:w="69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Technical indicators, Fibonacci, screening rules, the 10 strategies, and LLM verdict generation. Stateless and horizontally scalable.</w:t>
            </w:r>
          </w:p>
        </w:tc>
      </w:tr>
      <w:tr>
        <w:trPr>
          <w:tblHeader w:val="false"/>
        </w:trPr>
        <w:tc>
          <w:tcPr>
            <w:tcW w:type="dxa" w:w="24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bCs/>
              </w:rPr>
              <w:t xml:space="preserve">5. Data Ingestion</w:t>
            </w:r>
          </w:p>
        </w:tc>
        <w:tc>
          <w:tcPr>
            <w:tcW w:type="dxa" w:w="69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Angel One REST pollers + WebSocket consumer for live ticks; scheduled jobs for historical candles &amp; fundamentals refresh.</w:t>
            </w:r>
          </w:p>
        </w:tc>
      </w:tr>
      <w:tr>
        <w:trPr>
          <w:tblHeader w:val="false"/>
        </w:trPr>
        <w:tc>
          <w:tcPr>
            <w:tcW w:type="dxa" w:w="24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bCs/>
              </w:rPr>
              <w:t xml:space="preserve">6. Data Stores</w:t>
            </w:r>
          </w:p>
        </w:tc>
        <w:tc>
          <w:tcPr>
            <w:tcW w:type="dxa" w:w="69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PostgreSQL (users, orders, portfolios, configs), TimescaleDB/InfluxDB (time-series prices), Redis (cache + live quotes + pub/sub), object storage (generated reports).</w:t>
            </w:r>
          </w:p>
        </w:tc>
      </w:tr>
      <w:tr>
        <w:trPr>
          <w:tblHeader w:val="false"/>
        </w:trPr>
        <w:tc>
          <w:tcPr>
            <w:tcW w:type="dxa" w:w="24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bCs/>
              </w:rPr>
              <w:t xml:space="preserve">7. External Services</w:t>
            </w:r>
          </w:p>
        </w:tc>
        <w:tc>
          <w:tcPr>
            <w:tcW w:type="dxa" w:w="69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Angel One SmartAPI (data + orders), a Fundamentals data source, Claude via Agent SDK on the Pro plan (LLM, via MCP), and an email/push notifier.</w:t>
            </w:r>
          </w:p>
        </w:tc>
      </w:tr>
    </w:tbl>
    <w:p>
      <w:pPr>
        <w:pStyle w:val="Heading2"/>
      </w:pPr>
      <w:r>
        <w:t xml:space="preserve">4.2 Data Flow (Text Diagram)</w:t>
      </w:r>
    </w:p>
    <w:p>
      <w:pPr>
        <w:spacing w:after="120" w:line="276"/>
      </w:pPr>
      <w:r>
        <w:rPr>
          <w:b/>
          <w:bCs/>
        </w:rPr>
        <w:t xml:space="preserve">Live data path:</w:t>
      </w:r>
    </w:p>
    <w:p>
      <w:pPr>
        <w:spacing w:after="120" w:line="276"/>
      </w:pPr>
      <w:r>
        <w:rPr>
          <w:i/>
          <w:iCs/>
        </w:rPr>
        <w:t xml:space="preserve">Angel One WebSocket  →  Ingestion consumer  →  Redis (latest quote + pub/sub)  →  Spring Boot  →  WebSocket push  →  Next.js charts update live.</w:t>
      </w:r>
    </w:p>
    <w:p>
      <w:pPr>
        <w:spacing w:after="120" w:line="276"/>
      </w:pPr>
      <w:r>
        <w:rPr>
          <w:b/>
          <w:bCs/>
        </w:rPr>
        <w:t xml:space="preserve">Analysis path:</w:t>
      </w:r>
    </w:p>
    <w:p>
      <w:pPr>
        <w:spacing w:after="120" w:line="276"/>
      </w:pPr>
      <w:r>
        <w:rPr>
          <w:i/>
          <w:iCs/>
        </w:rPr>
        <w:t xml:space="preserve">User opens a stock  →  Spring Boot gathers price history + fundamentals  →  calls Python Analysis Service  →  rules/quant compute signals  →  Claude (via MCP tools) writes the memo  →  result cached &amp; returned  →  UI renders the report card and rating.</w:t>
      </w:r>
    </w:p>
    <w:p>
      <w:pPr>
        <w:spacing w:after="120" w:line="276"/>
      </w:pPr>
      <w:r>
        <w:rPr>
          <w:b/>
          <w:bCs/>
        </w:rPr>
        <w:t xml:space="preserve">Trading path:</w:t>
      </w:r>
    </w:p>
    <w:p>
      <w:pPr>
        <w:spacing w:after="120" w:line="276"/>
      </w:pPr>
      <w:r>
        <w:rPr>
          <w:i/>
          <w:iCs/>
        </w:rPr>
        <w:t xml:space="preserve">User reviews verdict  →  clicks Place Order  →  confirmation + risk checks in Spring Boot  →  Angel One Order API  →  order status streamed back  →  portfolio updated.</w:t>
      </w:r>
    </w:p>
    <w:p>
      <w:pPr>
        <w:pStyle w:val="Heading1"/>
      </w:pPr>
      <w: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Area</w:t>
            </w:r>
          </w:p>
        </w:tc>
        <w:tc>
          <w:tcPr>
            <w:tcW w:type="dxa" w:w="33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Technology</w:t>
            </w:r>
          </w:p>
        </w:tc>
        <w:tc>
          <w:tcPr>
            <w:tcW w:type="dxa" w:w="346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Role</w:t>
            </w:r>
          </w:p>
        </w:tc>
      </w:tr>
      <w:tr>
        <w:trPr>
          <w:tblHeader w:val="false"/>
        </w:trPr>
        <w:tc>
          <w:tcPr>
            <w:tcW w:type="dxa" w:w="2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Frontend</w:t>
            </w:r>
          </w:p>
        </w:tc>
        <w:tc>
          <w:tcPr>
            <w:tcW w:type="dxa" w:w="33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Next.js, React, TypeScript, Tailwind CSS</w:t>
            </w:r>
          </w:p>
        </w:tc>
        <w:tc>
          <w:tcPr>
            <w:tcW w:type="dxa" w:w="34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Responsive UI &amp; server-side rendering</w:t>
            </w:r>
          </w:p>
        </w:tc>
      </w:tr>
      <w:tr>
        <w:trPr>
          <w:tblHeader w:val="false"/>
        </w:trPr>
        <w:tc>
          <w:tcPr>
            <w:tcW w:type="dxa" w:w="26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Charts</w:t>
            </w:r>
          </w:p>
        </w:tc>
        <w:tc>
          <w:tcPr>
            <w:tcW w:type="dxa" w:w="33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TradingView Lightweight Charts / Recharts / ECharts</w:t>
            </w:r>
          </w:p>
        </w:tc>
        <w:tc>
          <w:tcPr>
            <w:tcW w:type="dxa" w:w="34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Candlesticks, indicators, overlays</w:t>
            </w:r>
          </w:p>
        </w:tc>
      </w:tr>
      <w:tr>
        <w:trPr>
          <w:tblHeader w:val="false"/>
        </w:trPr>
        <w:tc>
          <w:tcPr>
            <w:tcW w:type="dxa" w:w="2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Core backend</w:t>
            </w:r>
          </w:p>
        </w:tc>
        <w:tc>
          <w:tcPr>
            <w:tcW w:type="dxa" w:w="33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Java 21, Spring Boot 3, Spring Security, Spring Data JPA</w:t>
            </w:r>
          </w:p>
        </w:tc>
        <w:tc>
          <w:tcPr>
            <w:tcW w:type="dxa" w:w="34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Business logic, auth, orders, alerts</w:t>
            </w:r>
          </w:p>
        </w:tc>
      </w:tr>
      <w:tr>
        <w:trPr>
          <w:tblHeader w:val="false"/>
        </w:trPr>
        <w:tc>
          <w:tcPr>
            <w:tcW w:type="dxa" w:w="26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Gateway</w:t>
            </w:r>
          </w:p>
        </w:tc>
        <w:tc>
          <w:tcPr>
            <w:tcW w:type="dxa" w:w="33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Spring Cloud Gateway (or Next.js BFF)</w:t>
            </w:r>
          </w:p>
        </w:tc>
        <w:tc>
          <w:tcPr>
            <w:tcW w:type="dxa" w:w="34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Routing, auth, rate limiting</w:t>
            </w:r>
          </w:p>
        </w:tc>
      </w:tr>
      <w:tr>
        <w:trPr>
          <w:tblHeader w:val="false"/>
        </w:trPr>
        <w:tc>
          <w:tcPr>
            <w:tcW w:type="dxa" w:w="2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Analysis service</w:t>
            </w:r>
          </w:p>
        </w:tc>
        <w:tc>
          <w:tcPr>
            <w:tcW w:type="dxa" w:w="33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Python 3.12, FastAPI, pandas, NumPy, TA-Lib/pandas-ta</w:t>
            </w:r>
          </w:p>
        </w:tc>
        <w:tc>
          <w:tcPr>
            <w:tcW w:type="dxa" w:w="34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Indicators, screening, strategies</w:t>
            </w:r>
          </w:p>
        </w:tc>
      </w:tr>
      <w:tr>
        <w:trPr>
          <w:tblHeader w:val="false"/>
        </w:trPr>
        <w:tc>
          <w:tcPr>
            <w:tcW w:type="dxa" w:w="26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AI layer</w:t>
            </w:r>
          </w:p>
        </w:tc>
        <w:tc>
          <w:tcPr>
            <w:tcW w:type="dxa" w:w="33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Claude Agent SDK (Pro subscription) + MCP tool server</w:t>
            </w:r>
          </w:p>
        </w:tc>
        <w:tc>
          <w:tcPr>
            <w:tcW w:type="dxa" w:w="34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Analyst-style verdict generation, no paid API</w:t>
            </w:r>
          </w:p>
        </w:tc>
      </w:tr>
      <w:tr>
        <w:trPr>
          <w:tblHeader w:val="false"/>
        </w:trPr>
        <w:tc>
          <w:tcPr>
            <w:tcW w:type="dxa" w:w="2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Live data</w:t>
            </w:r>
          </w:p>
        </w:tc>
        <w:tc>
          <w:tcPr>
            <w:tcW w:type="dxa" w:w="33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Angel One SmartAPI WebSocket + REST</w:t>
            </w:r>
          </w:p>
        </w:tc>
        <w:tc>
          <w:tcPr>
            <w:tcW w:type="dxa" w:w="34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Ticks, quotes, candles, orders</w:t>
            </w:r>
          </w:p>
        </w:tc>
      </w:tr>
      <w:tr>
        <w:trPr>
          <w:tblHeader w:val="false"/>
        </w:trPr>
        <w:tc>
          <w:tcPr>
            <w:tcW w:type="dxa" w:w="26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Databases</w:t>
            </w:r>
          </w:p>
        </w:tc>
        <w:tc>
          <w:tcPr>
            <w:tcW w:type="dxa" w:w="33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PostgreSQL, TimescaleDB/InfluxDB, Redis</w:t>
            </w:r>
          </w:p>
        </w:tc>
        <w:tc>
          <w:tcPr>
            <w:tcW w:type="dxa" w:w="34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Relational, time-series, cache</w:t>
            </w:r>
          </w:p>
        </w:tc>
      </w:tr>
      <w:tr>
        <w:trPr>
          <w:tblHeader w:val="false"/>
        </w:trPr>
        <w:tc>
          <w:tcPr>
            <w:tcW w:type="dxa" w:w="2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Messaging</w:t>
            </w:r>
          </w:p>
        </w:tc>
        <w:tc>
          <w:tcPr>
            <w:tcW w:type="dxa" w:w="33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Redis Pub/Sub (Kafka later if scale needs)</w:t>
            </w:r>
          </w:p>
        </w:tc>
        <w:tc>
          <w:tcPr>
            <w:tcW w:type="dxa" w:w="34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Live fan-out, async jobs</w:t>
            </w:r>
          </w:p>
        </w:tc>
      </w:tr>
      <w:tr>
        <w:trPr>
          <w:tblHeader w:val="false"/>
        </w:trPr>
        <w:tc>
          <w:tcPr>
            <w:tcW w:type="dxa" w:w="26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Notifications</w:t>
            </w:r>
          </w:p>
        </w:tc>
        <w:tc>
          <w:tcPr>
            <w:tcW w:type="dxa" w:w="33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Email (SMTP/SES), Web Push / FCM</w:t>
            </w:r>
          </w:p>
        </w:tc>
        <w:tc>
          <w:tcPr>
            <w:tcW w:type="dxa" w:w="34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Alerts</w:t>
            </w:r>
          </w:p>
        </w:tc>
      </w:tr>
      <w:tr>
        <w:trPr>
          <w:tblHeader w:val="false"/>
        </w:trPr>
        <w:tc>
          <w:tcPr>
            <w:tcW w:type="dxa" w:w="2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Infra</w:t>
            </w:r>
          </w:p>
        </w:tc>
        <w:tc>
          <w:tcPr>
            <w:tcW w:type="dxa" w:w="33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Docker, Docker Compose (k8s later)</w:t>
            </w:r>
          </w:p>
        </w:tc>
        <w:tc>
          <w:tcPr>
            <w:tcW w:type="dxa" w:w="34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Packaging &amp; deployment</w:t>
            </w:r>
          </w:p>
        </w:tc>
      </w:tr>
    </w:tbl>
    <w:p>
      <w:pPr>
        <w:spacing w:after="120" w:line="276"/>
      </w:pPr>
      <w:r>
        <w:rPr>
          <w:b/>
          <w:bCs/>
        </w:rPr>
        <w:t xml:space="preserve">Do we need Python? </w:t>
      </w:r>
      <w:r>
        <w:t xml:space="preserve">Yes — recommended. The technical indicators, statistical pattern detection and LLM orchestration are far simpler and more reliable in Python. Spring Boot remains the system of record for users, orders and money. The two talk over a clean internal REST/gRPC contract, so this adds little complexity.</w:t>
      </w:r>
    </w:p>
    <w:p>
      <w:pPr>
        <w:pStyle w:val="Heading1"/>
      </w:pPr>
      <w:r>
        <w:t xml:space="preserve">6. Angel One SmartAPI Integration</w:t>
      </w:r>
    </w:p>
    <w:p>
      <w:pPr>
        <w:spacing w:after="120" w:line="276"/>
      </w:pPr>
      <w:r>
        <w:t xml:space="preserve">Angel One SmartAPI is the free official API and the backbone of the data and trading layer.</w:t>
      </w:r>
    </w:p>
    <w:p>
      <w:pPr>
        <w:pStyle w:val="Heading2"/>
      </w:pPr>
      <w:r>
        <w:t xml:space="preserve">6.1 What it provides</w:t>
      </w:r>
    </w:p>
    <w:p>
      <w:pPr>
        <w:pStyle w:val="ListParagraph"/>
        <w:numPr>
          <w:ilvl w:val="0"/>
          <w:numId w:val="2"/>
        </w:numPr>
        <w:spacing w:after="60" w:line="276"/>
      </w:pPr>
      <w:r>
        <w:t xml:space="preserve">Authentication: login via API key + secret with TOTP; OAuth flow being rolled out for stronger security.</w:t>
      </w:r>
    </w:p>
    <w:p>
      <w:pPr>
        <w:pStyle w:val="ListParagraph"/>
        <w:numPr>
          <w:ilvl w:val="0"/>
          <w:numId w:val="2"/>
        </w:numPr>
        <w:spacing w:after="60" w:line="276"/>
      </w:pPr>
      <w:r>
        <w:t xml:space="preserve">Live market data over WebSocket — tick-by-tick, low latency, for NSE &amp; BSE.</w:t>
      </w:r>
    </w:p>
    <w:p>
      <w:pPr>
        <w:pStyle w:val="ListParagraph"/>
        <w:numPr>
          <w:ilvl w:val="0"/>
          <w:numId w:val="2"/>
        </w:numPr>
        <w:spacing w:after="60" w:line="276"/>
      </w:pPr>
      <w:r>
        <w:t xml:space="preserve">Historical candles via REST: up to 8,000 candles per request, intervals from 1-minute to daily.</w:t>
      </w:r>
    </w:p>
    <w:p>
      <w:pPr>
        <w:pStyle w:val="ListParagraph"/>
        <w:numPr>
          <w:ilvl w:val="0"/>
          <w:numId w:val="2"/>
        </w:numPr>
        <w:spacing w:after="60" w:line="276"/>
      </w:pPr>
      <w:r>
        <w:t xml:space="preserve">Order APIs: place, modify, cancel, and GTT orders for equities &amp; commodities (rate limit ~10 orders/second).</w:t>
      </w:r>
    </w:p>
    <w:p>
      <w:pPr>
        <w:pStyle w:val="ListParagraph"/>
        <w:numPr>
          <w:ilvl w:val="0"/>
          <w:numId w:val="2"/>
        </w:numPr>
        <w:spacing w:after="60" w:line="276"/>
      </w:pPr>
      <w:r>
        <w:t xml:space="preserve">Portfolio &amp; holdings, funds, and order book endpoints.</w:t>
      </w:r>
    </w:p>
    <w:p>
      <w:pPr>
        <w:pStyle w:val="ListParagraph"/>
        <w:numPr>
          <w:ilvl w:val="0"/>
          <w:numId w:val="2"/>
        </w:numPr>
        <w:spacing w:after="60" w:line="276"/>
      </w:pPr>
      <w:r>
        <w:t xml:space="preserve">Official SDKs in Java, Python, Node.js and more.</w:t>
      </w:r>
    </w:p>
    <w:p>
      <w:pPr>
        <w:pStyle w:val="Heading2"/>
      </w:pPr>
      <w:r>
        <w:t xml:space="preserve">6.2 What it does NOT provide (and the free fix)</w:t>
      </w:r>
    </w:p>
    <w:p>
      <w:pPr>
        <w:spacing w:after="120" w:line="276"/>
      </w:pPr>
      <w:r>
        <w:t xml:space="preserve">SmartAPI is primarily a market-data and trading API. Its live feed exposes a few per-instrument fields (e.g. EPS), but it does not serve a full fundamentals set — there is no reliable P/E, ROE, profit growth, or per-company FII/DII holding. Those metrics, which several screening rules depend on, come from a separate Fundamentals module. Crucially, this can be done entirely with free sources — no paid data vendor is required.</w:t>
      </w:r>
    </w:p>
    <w:p>
      <w:pPr>
        <w:spacing w:after="120" w:line="276"/>
      </w:pPr>
      <w:r>
        <w:rPr>
          <w:b/>
          <w:bCs/>
        </w:rPr>
        <w:t xml:space="preserve">Important distinction on FII/DII: </w:t>
      </w:r>
      <w:r>
        <w:t xml:space="preserve">the NSE daily “FII/DII” report is market-wide cash flow (total bought/sold across the whole market), NOT per-stock holding. The screening rule “FII/DII holding &gt; 5%” needs the per-company shareholding pattern, which comes from quarterly BSE/NSE filings — a different source.</w:t>
      </w:r>
    </w:p>
    <w:p>
      <w:pPr>
        <w:pStyle w:val="Heading2"/>
      </w:pPr>
      <w:r>
        <w:t xml:space="preserve">6.3 Free Fundamentals Data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tblHeader/>
        </w:trPr>
        <w:tc>
          <w:tcPr>
            <w:tcW w:type="dxa" w:w="29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Data needed</w:t>
            </w:r>
          </w:p>
        </w:tc>
        <w:tc>
          <w:tcPr>
            <w:tcW w:type="dxa" w:w="27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Free source</w:t>
            </w:r>
          </w:p>
        </w:tc>
        <w:tc>
          <w:tcPr>
            <w:tcW w:type="dxa" w:w="376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Notes</w:t>
            </w:r>
          </w:p>
        </w:tc>
      </w:tr>
      <w:tr>
        <w:trPr>
          <w:tblHeader w:val="false"/>
        </w:trPr>
        <w:tc>
          <w:tcPr>
            <w:tcW w:type="dxa" w:w="29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Prices, candles, live ticks, orders</w:t>
            </w:r>
          </w:p>
        </w:tc>
        <w:tc>
          <w:tcPr>
            <w:tcW w:type="dxa" w:w="27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Angel One SmartAPI</w:t>
            </w:r>
          </w:p>
        </w:tc>
        <w:tc>
          <w:tcPr>
            <w:tcW w:type="dxa" w:w="37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Already chosen; free.</w:t>
            </w:r>
          </w:p>
        </w:tc>
      </w:tr>
      <w:tr>
        <w:trPr>
          <w:tblHeader w:val="false"/>
        </w:trPr>
        <w:tc>
          <w:tcPr>
            <w:tcW w:type="dxa" w:w="29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P/E, EPS, ROE, profit growth, margins</w:t>
            </w:r>
          </w:p>
        </w:tc>
        <w:tc>
          <w:tcPr>
            <w:tcW w:type="dxa" w:w="27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Yahoo Finance (yfinance), .NS / .BO tickers</w:t>
            </w:r>
          </w:p>
        </w:tc>
        <w:tc>
          <w:tcPr>
            <w:tcW w:type="dxa" w:w="37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Free, unofficial; refresh daily &amp; cache. Occasional field gaps.</w:t>
            </w:r>
          </w:p>
        </w:tc>
      </w:tr>
      <w:tr>
        <w:trPr>
          <w:tblHeader w:val="false"/>
        </w:trPr>
        <w:tc>
          <w:tcPr>
            <w:tcW w:type="dxa" w:w="29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Per-company FII &amp; DII holding %, promoter holding / pledge</w:t>
            </w:r>
          </w:p>
        </w:tc>
        <w:tc>
          <w:tcPr>
            <w:tcW w:type="dxa" w:w="27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BSE / NSE shareholding-pattern filings</w:t>
            </w:r>
          </w:p>
        </w:tc>
        <w:tc>
          <w:tcPr>
            <w:tcW w:type="dxa" w:w="37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Correct source for the &gt;5% rule; quarterly; needs proper headers &amp; polite rate-limiting.</w:t>
            </w:r>
          </w:p>
        </w:tc>
      </w:tr>
      <w:tr>
        <w:trPr>
          <w:tblHeader w:val="false"/>
        </w:trPr>
        <w:tc>
          <w:tcPr>
            <w:tcW w:type="dxa" w:w="29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Market-wide FII/DII flow (macro context)</w:t>
            </w:r>
          </w:p>
        </w:tc>
        <w:tc>
          <w:tcPr>
            <w:tcW w:type="dxa" w:w="27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NSE FII/DII report</w:t>
            </w:r>
          </w:p>
        </w:tc>
        <w:tc>
          <w:tcPr>
            <w:tcW w:type="dxa" w:w="37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Free; context only, not per-stock.</w:t>
            </w:r>
          </w:p>
        </w:tc>
      </w:tr>
    </w:tbl>
    <w:p>
      <w:pPr>
        <w:spacing w:after="120" w:line="276"/>
      </w:pPr>
      <w:r>
        <w:rPr>
          <w:i/>
          <w:iCs/>
        </w:rPr>
        <w:t xml:space="preserve">Caveat: these are free but unofficial/quarterly, so the Fundamentals module normalizes fields, refreshes on a schedule (daily for ratios, after results season for shareholding), and caches. If higher reliability is ever needed, a paid API can be slotted behind the same module interface without other changes.</w:t>
      </w:r>
    </w:p>
    <w:p>
      <w:pPr>
        <w:pStyle w:val="Heading2"/>
      </w:pPr>
      <w:r>
        <w:t xml:space="preserve">6.3 Integration concerns</w:t>
      </w:r>
    </w:p>
    <w:p>
      <w:pPr>
        <w:pStyle w:val="ListParagraph"/>
        <w:numPr>
          <w:ilvl w:val="0"/>
          <w:numId w:val="2"/>
        </w:numPr>
        <w:spacing w:after="60" w:line="276"/>
      </w:pPr>
      <w:r>
        <w:t xml:space="preserve">Session/token management &amp; auto-refresh handled centrally in Spring Boot; tokens encrypted at rest.</w:t>
      </w:r>
    </w:p>
    <w:p>
      <w:pPr>
        <w:pStyle w:val="ListParagraph"/>
        <w:numPr>
          <w:ilvl w:val="0"/>
          <w:numId w:val="2"/>
        </w:numPr>
        <w:spacing w:after="60" w:line="276"/>
      </w:pPr>
      <w:r>
        <w:t xml:space="preserve">Respect rate limits (especially ~10 orders/sec) with a queue + throttle around the Order API.</w:t>
      </w:r>
    </w:p>
    <w:p>
      <w:pPr>
        <w:pStyle w:val="ListParagraph"/>
        <w:numPr>
          <w:ilvl w:val="0"/>
          <w:numId w:val="2"/>
        </w:numPr>
        <w:spacing w:after="60" w:line="276"/>
      </w:pPr>
      <w:r>
        <w:t xml:space="preserve">Reconnect &amp; backfill logic for the WebSocket so no ticks are silently lost.</w:t>
      </w:r>
    </w:p>
    <w:p>
      <w:pPr>
        <w:pStyle w:val="ListParagraph"/>
        <w:numPr>
          <w:ilvl w:val="0"/>
          <w:numId w:val="2"/>
        </w:numPr>
        <w:spacing w:after="60" w:line="276"/>
      </w:pPr>
      <w:r>
        <w:t xml:space="preserve">SEBI compliance: SmartAPI is tightening rules (OAuth, usage limits) — keep the broker adapter isolated so changes are contained.</w:t>
      </w:r>
    </w:p>
    <w:p>
      <w:pPr>
        <w:pStyle w:val="Heading1"/>
      </w:pPr>
      <w:r>
        <w:t xml:space="preserve">7. 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Module</w:t>
            </w:r>
          </w:p>
        </w:tc>
        <w:tc>
          <w:tcPr>
            <w:tcW w:type="dxa" w:w="666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Responsibility</w:t>
            </w:r>
          </w:p>
        </w:tc>
      </w:tr>
      <w:tr>
        <w:trPr>
          <w:tblHeader w:val="false"/>
        </w:trPr>
        <w:tc>
          <w:tcPr>
            <w:tcW w:type="dxa" w:w="27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bCs/>
              </w:rPr>
              <w:t xml:space="preserve">Auth &amp; User</w:t>
            </w:r>
          </w:p>
        </w:tc>
        <w:tc>
          <w:tcPr>
            <w:tcW w:type="dxa" w:w="66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Sign-in, sessions, roles. Single-user now; user-scoped data so adding users later is trivial.</w:t>
            </w:r>
          </w:p>
        </w:tc>
      </w:tr>
      <w:tr>
        <w:trPr>
          <w:tblHeader w:val="false"/>
        </w:trPr>
        <w:tc>
          <w:tcPr>
            <w:tcW w:type="dxa" w:w="27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bCs/>
              </w:rPr>
              <w:t xml:space="preserve">Broker Adapter</w:t>
            </w:r>
          </w:p>
        </w:tc>
        <w:tc>
          <w:tcPr>
            <w:tcW w:type="dxa" w:w="66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All Angel One calls behind one interface: data, orders, portfolio, token refresh.</w:t>
            </w:r>
          </w:p>
        </w:tc>
      </w:tr>
      <w:tr>
        <w:trPr>
          <w:tblHeader w:val="false"/>
        </w:trPr>
        <w:tc>
          <w:tcPr>
            <w:tcW w:type="dxa" w:w="27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bCs/>
              </w:rPr>
              <w:t xml:space="preserve">Market Data</w:t>
            </w:r>
          </w:p>
        </w:tc>
        <w:tc>
          <w:tcPr>
            <w:tcW w:type="dxa" w:w="66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Live quotes (WebSocket → Redis), historical candles, symbol master for NSE/BSE.</w:t>
            </w:r>
          </w:p>
        </w:tc>
      </w:tr>
      <w:tr>
        <w:trPr>
          <w:tblHeader w:val="false"/>
        </w:trPr>
        <w:tc>
          <w:tcPr>
            <w:tcW w:type="dxa" w:w="27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bCs/>
              </w:rPr>
              <w:t xml:space="preserve">Fundamentals</w:t>
            </w:r>
          </w:p>
        </w:tc>
        <w:tc>
          <w:tcPr>
            <w:tcW w:type="dxa" w:w="66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P/E, ROE, EPS, profit growth from Yahoo (yfinance); FII/DII &amp; promoter holding from BSE/NSE filings. All free; normalized &amp; cached.</w:t>
            </w:r>
          </w:p>
        </w:tc>
      </w:tr>
      <w:tr>
        <w:trPr>
          <w:tblHeader w:val="false"/>
        </w:trPr>
        <w:tc>
          <w:tcPr>
            <w:tcW w:type="dxa" w:w="27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bCs/>
              </w:rPr>
              <w:t xml:space="preserve">Charting / Dashboard</w:t>
            </w:r>
          </w:p>
        </w:tc>
        <w:tc>
          <w:tcPr>
            <w:tcW w:type="dxa" w:w="66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Responsive candlestick charts with indicator overlays, watchlists, market movers.</w:t>
            </w:r>
          </w:p>
        </w:tc>
      </w:tr>
      <w:tr>
        <w:trPr>
          <w:tblHeader w:val="false"/>
        </w:trPr>
        <w:tc>
          <w:tcPr>
            <w:tcW w:type="dxa" w:w="27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bCs/>
              </w:rPr>
              <w:t xml:space="preserve">Screener</w:t>
            </w:r>
          </w:p>
        </w:tc>
        <w:tc>
          <w:tcPr>
            <w:tcW w:type="dxa" w:w="66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Applies fundamental + technical filters across the universe to shortlist candidates.</w:t>
            </w:r>
          </w:p>
        </w:tc>
      </w:tr>
      <w:tr>
        <w:trPr>
          <w:tblHeader w:val="false"/>
        </w:trPr>
        <w:tc>
          <w:tcPr>
            <w:tcW w:type="dxa" w:w="27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bCs/>
              </w:rPr>
              <w:t xml:space="preserve">Analysis Engine</w:t>
            </w:r>
          </w:p>
        </w:tc>
        <w:tc>
          <w:tcPr>
            <w:tcW w:type="dxa" w:w="66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Runs the 10 strategies + indicator stack; outputs structured signals.</w:t>
            </w:r>
          </w:p>
        </w:tc>
      </w:tr>
      <w:tr>
        <w:trPr>
          <w:tblHeader w:val="false"/>
        </w:trPr>
        <w:tc>
          <w:tcPr>
            <w:tcW w:type="dxa" w:w="27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bCs/>
              </w:rPr>
              <w:t xml:space="preserve">AI Verdict</w:t>
            </w:r>
          </w:p>
        </w:tc>
        <w:tc>
          <w:tcPr>
            <w:tcW w:type="dxa" w:w="66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Feeds signals to the LLM with persona prompts; produces memo + rating + entry/stop/target.</w:t>
            </w:r>
          </w:p>
        </w:tc>
      </w:tr>
      <w:tr>
        <w:trPr>
          <w:tblHeader w:val="false"/>
        </w:trPr>
        <w:tc>
          <w:tcPr>
            <w:tcW w:type="dxa" w:w="27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bCs/>
              </w:rPr>
              <w:t xml:space="preserve">Alerts</w:t>
            </w:r>
          </w:p>
        </w:tc>
        <w:tc>
          <w:tcPr>
            <w:tcW w:type="dxa" w:w="66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User-defined and signal-based triggers; in-app, email &amp; push.</w:t>
            </w:r>
          </w:p>
        </w:tc>
      </w:tr>
      <w:tr>
        <w:trPr>
          <w:tblHeader w:val="false"/>
        </w:trPr>
        <w:tc>
          <w:tcPr>
            <w:tcW w:type="dxa" w:w="27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bCs/>
              </w:rPr>
              <w:t xml:space="preserve">Order Management</w:t>
            </w:r>
          </w:p>
        </w:tc>
        <w:tc>
          <w:tcPr>
            <w:tcW w:type="dxa" w:w="66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Order ticket, confirmation, risk checks, live status, order history.</w:t>
            </w:r>
          </w:p>
        </w:tc>
      </w:tr>
      <w:tr>
        <w:trPr>
          <w:tblHeader w:val="false"/>
        </w:trPr>
        <w:tc>
          <w:tcPr>
            <w:tcW w:type="dxa" w:w="27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bCs/>
              </w:rPr>
              <w:t xml:space="preserve">Portfolio &amp; Risk</w:t>
            </w:r>
          </w:p>
        </w:tc>
        <w:tc>
          <w:tcPr>
            <w:tcW w:type="dxa" w:w="66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Holdings, P&amp;L, allocation, and the Bridgewater-style risk view.</w:t>
            </w:r>
          </w:p>
        </w:tc>
      </w:tr>
    </w:tbl>
    <w:p>
      <w:pPr>
        <w:pStyle w:val="Heading1"/>
      </w:pPr>
      <w:r>
        <w:t xml:space="preserve">8. Screening Criteria (Fundamental Filters)</w:t>
      </w:r>
    </w:p>
    <w:p>
      <w:pPr>
        <w:spacing w:after="120" w:line="276"/>
      </w:pPr>
      <w:r>
        <w:t xml:space="preserve">The screener encodes your rules as configurable thresholds. Defaults below; every threshold is editable in settings so the strategy can evolve.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Metric</w:t>
            </w:r>
          </w:p>
        </w:tc>
        <w:tc>
          <w:tcPr>
            <w:tcW w:type="dxa" w:w="22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Default rule</w:t>
            </w:r>
          </w:p>
        </w:tc>
        <w:tc>
          <w:tcPr>
            <w:tcW w:type="dxa" w:w="376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Signal meaning</w:t>
            </w:r>
          </w:p>
        </w:tc>
      </w:tr>
      <w:tr>
        <w:trPr>
          <w:tblHeader w:val="false"/>
        </w:trPr>
        <w:tc>
          <w:tcPr>
            <w:tcW w:type="dxa" w:w="34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P/E ratio</w:t>
            </w:r>
          </w:p>
        </w:tc>
        <w:tc>
          <w:tcPr>
            <w:tcW w:type="dxa" w:w="22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&lt; 30</w:t>
            </w:r>
          </w:p>
        </w:tc>
        <w:tc>
          <w:tcPr>
            <w:tcW w:type="dxa" w:w="37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Not overpriced relative to earnings</w:t>
            </w:r>
          </w:p>
        </w:tc>
      </w:tr>
      <w:tr>
        <w:trPr>
          <w:tblHeader w:val="false"/>
        </w:trPr>
        <w:tc>
          <w:tcPr>
            <w:tcW w:type="dxa" w:w="34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Return on Equity (ROE)</w:t>
            </w:r>
          </w:p>
        </w:tc>
        <w:tc>
          <w:tcPr>
            <w:tcW w:type="dxa" w:w="22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&gt; 25%</w:t>
            </w:r>
          </w:p>
        </w:tc>
        <w:tc>
          <w:tcPr>
            <w:tcW w:type="dxa" w:w="37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Efficient use of shareholder capital</w:t>
            </w:r>
          </w:p>
        </w:tc>
      </w:tr>
      <w:tr>
        <w:trPr>
          <w:tblHeader w:val="false"/>
        </w:trPr>
        <w:tc>
          <w:tcPr>
            <w:tcW w:type="dxa" w:w="34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Earnings per Share (EPS)</w:t>
            </w:r>
          </w:p>
        </w:tc>
        <w:tc>
          <w:tcPr>
            <w:tcW w:type="dxa" w:w="22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Positive</w:t>
            </w:r>
          </w:p>
        </w:tc>
        <w:tc>
          <w:tcPr>
            <w:tcW w:type="dxa" w:w="37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Company is profitable</w:t>
            </w:r>
          </w:p>
        </w:tc>
      </w:tr>
      <w:tr>
        <w:trPr>
          <w:tblHeader w:val="false"/>
        </w:trPr>
        <w:tc>
          <w:tcPr>
            <w:tcW w:type="dxa" w:w="34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FII holding</w:t>
            </w:r>
          </w:p>
        </w:tc>
        <w:tc>
          <w:tcPr>
            <w:tcW w:type="dxa" w:w="22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&gt; 5%</w:t>
            </w:r>
          </w:p>
        </w:tc>
        <w:tc>
          <w:tcPr>
            <w:tcW w:type="dxa" w:w="37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Foreign institutional confidence</w:t>
            </w:r>
          </w:p>
        </w:tc>
      </w:tr>
      <w:tr>
        <w:trPr>
          <w:tblHeader w:val="false"/>
        </w:trPr>
        <w:tc>
          <w:tcPr>
            <w:tcW w:type="dxa" w:w="34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DII holding</w:t>
            </w:r>
          </w:p>
        </w:tc>
        <w:tc>
          <w:tcPr>
            <w:tcW w:type="dxa" w:w="22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&gt; 5%</w:t>
            </w:r>
          </w:p>
        </w:tc>
        <w:tc>
          <w:tcPr>
            <w:tcW w:type="dxa" w:w="37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Domestic institutional confidence</w:t>
            </w:r>
          </w:p>
        </w:tc>
      </w:tr>
      <w:tr>
        <w:trPr>
          <w:tblHeader w:val="false"/>
        </w:trPr>
        <w:tc>
          <w:tcPr>
            <w:tcW w:type="dxa" w:w="34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Profit growth</w:t>
            </w:r>
          </w:p>
        </w:tc>
        <w:tc>
          <w:tcPr>
            <w:tcW w:type="dxa" w:w="22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Positive (YoY)</w:t>
            </w:r>
          </w:p>
        </w:tc>
        <w:tc>
          <w:tcPr>
            <w:tcW w:type="dxa" w:w="37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Business is growing</w:t>
            </w:r>
          </w:p>
        </w:tc>
      </w:tr>
      <w:tr>
        <w:trPr>
          <w:tblHeader w:val="false"/>
        </w:trPr>
        <w:tc>
          <w:tcPr>
            <w:tcW w:type="dxa" w:w="34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Debt-to-Equity (extra)</w:t>
            </w:r>
          </w:p>
        </w:tc>
        <w:tc>
          <w:tcPr>
            <w:tcW w:type="dxa" w:w="22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&lt; 1 (suggested)</w:t>
            </w:r>
          </w:p>
        </w:tc>
        <w:tc>
          <w:tcPr>
            <w:tcW w:type="dxa" w:w="37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Healthy balance sheet</w:t>
            </w:r>
          </w:p>
        </w:tc>
      </w:tr>
      <w:tr>
        <w:trPr>
          <w:tblHeader w:val="false"/>
        </w:trPr>
        <w:tc>
          <w:tcPr>
            <w:tcW w:type="dxa" w:w="34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Promoter holding / pledge (extra)</w:t>
            </w:r>
          </w:p>
        </w:tc>
        <w:tc>
          <w:tcPr>
            <w:tcW w:type="dxa" w:w="22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Stable, low pledge</w:t>
            </w:r>
          </w:p>
        </w:tc>
        <w:tc>
          <w:tcPr>
            <w:tcW w:type="dxa" w:w="37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Aligned, low-risk ownership</w:t>
            </w:r>
          </w:p>
        </w:tc>
      </w:tr>
    </w:tbl>
    <w:p>
      <w:pPr>
        <w:spacing w:after="120" w:line="276"/>
      </w:pPr>
      <w:r>
        <w:rPr>
          <w:i/>
          <w:iCs/>
        </w:rPr>
        <w:t xml:space="preserve">A stock that clears all mandatory filters becomes a candidate; the technical and AI layers then decide timing and conviction.</w:t>
      </w:r>
    </w:p>
    <w:p>
      <w:pPr>
        <w:pStyle w:val="Heading1"/>
      </w:pPr>
      <w:r>
        <w:t xml:space="preserve">9. The Ten Analysis Strategies</w:t>
      </w:r>
    </w:p>
    <w:p>
      <w:pPr>
        <w:spacing w:after="120" w:line="276"/>
      </w:pPr>
      <w:r>
        <w:t xml:space="preserve">Each strategy is a self-contained analysis profile. They can run individually (“give me the Citadel technical read on RELIANCE”) or be combined into one consolidated verdict. Each maps to concrete data inputs and a templated LLM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tblHeader/>
        </w:trPr>
        <w:tc>
          <w:tcPr>
            <w:tcW w:type="dxa" w:w="29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Strategy (persona)</w:t>
            </w:r>
          </w:p>
        </w:tc>
        <w:tc>
          <w:tcPr>
            <w:tcW w:type="dxa" w:w="31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Focus</w:t>
            </w:r>
          </w:p>
        </w:tc>
        <w:tc>
          <w:tcPr>
            <w:tcW w:type="dxa" w:w="336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Main inputs</w:t>
            </w:r>
          </w:p>
        </w:tc>
      </w:tr>
      <w:tr>
        <w:trPr>
          <w:tblHeader w:val="false"/>
        </w:trPr>
        <w:tc>
          <w:tcPr>
            <w:tcW w:type="dxa" w:w="29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1. Morgan Stanley</w:t>
            </w:r>
          </w:p>
        </w:tc>
        <w:tc>
          <w:tcPr>
            <w:tcW w:type="dxa" w:w="31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DCF valuation</w:t>
            </w:r>
          </w:p>
        </w:tc>
        <w:tc>
          <w:tcPr>
            <w:tcW w:type="dxa" w:w="33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Revenue/margins, FCF, WACC, terminal value</w:t>
            </w:r>
          </w:p>
        </w:tc>
      </w:tr>
      <w:tr>
        <w:trPr>
          <w:tblHeader w:val="false"/>
        </w:trPr>
        <w:tc>
          <w:tcPr>
            <w:tcW w:type="dxa" w:w="29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2. Bridgewater</w:t>
            </w:r>
          </w:p>
        </w:tc>
        <w:tc>
          <w:tcPr>
            <w:tcW w:type="dxa" w:w="31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Portfolio risk</w:t>
            </w:r>
          </w:p>
        </w:tc>
        <w:tc>
          <w:tcPr>
            <w:tcW w:type="dxa" w:w="33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Correlations, concentration, stress tests</w:t>
            </w:r>
          </w:p>
        </w:tc>
      </w:tr>
      <w:tr>
        <w:trPr>
          <w:tblHeader w:val="false"/>
        </w:trPr>
        <w:tc>
          <w:tcPr>
            <w:tcW w:type="dxa" w:w="29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3. JPMorgan</w:t>
            </w:r>
          </w:p>
        </w:tc>
        <w:tc>
          <w:tcPr>
            <w:tcW w:type="dxa" w:w="31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Earnings preview</w:t>
            </w:r>
          </w:p>
        </w:tc>
        <w:tc>
          <w:tcPr>
            <w:tcW w:type="dxa" w:w="33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Estimates, beats/misses, guidance, implied move</w:t>
            </w:r>
          </w:p>
        </w:tc>
      </w:tr>
      <w:tr>
        <w:trPr>
          <w:tblHeader w:val="false"/>
        </w:trPr>
        <w:tc>
          <w:tcPr>
            <w:tcW w:type="dxa" w:w="29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4. BlackRock</w:t>
            </w:r>
          </w:p>
        </w:tc>
        <w:tc>
          <w:tcPr>
            <w:tcW w:type="dxa" w:w="31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Portfolio construction</w:t>
            </w:r>
          </w:p>
        </w:tc>
        <w:tc>
          <w:tcPr>
            <w:tcW w:type="dxa" w:w="33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Asset allocation, ETFs, rebalancing</w:t>
            </w:r>
          </w:p>
        </w:tc>
      </w:tr>
      <w:tr>
        <w:trPr>
          <w:tblHeader w:val="false"/>
        </w:trPr>
        <w:tc>
          <w:tcPr>
            <w:tcW w:type="dxa" w:w="29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5. Citadel</w:t>
            </w:r>
          </w:p>
        </w:tc>
        <w:tc>
          <w:tcPr>
            <w:tcW w:type="dxa" w:w="31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Technical analysis</w:t>
            </w:r>
          </w:p>
        </w:tc>
        <w:tc>
          <w:tcPr>
            <w:tcW w:type="dxa" w:w="33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Trend, S/R, MAs, RSI/MACD/BB, Fibonacci</w:t>
            </w:r>
          </w:p>
        </w:tc>
      </w:tr>
      <w:tr>
        <w:trPr>
          <w:tblHeader w:val="false"/>
        </w:trPr>
        <w:tc>
          <w:tcPr>
            <w:tcW w:type="dxa" w:w="29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6. Harvard Endowment</w:t>
            </w:r>
          </w:p>
        </w:tc>
        <w:tc>
          <w:tcPr>
            <w:tcW w:type="dxa" w:w="31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Dividend strategy</w:t>
            </w:r>
          </w:p>
        </w:tc>
        <w:tc>
          <w:tcPr>
            <w:tcW w:type="dxa" w:w="33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Yield, payout ratio, dividend growth, DRIP</w:t>
            </w:r>
          </w:p>
        </w:tc>
      </w:tr>
      <w:tr>
        <w:trPr>
          <w:tblHeader w:val="false"/>
        </w:trPr>
        <w:tc>
          <w:tcPr>
            <w:tcW w:type="dxa" w:w="29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7. Bain &amp; Co.</w:t>
            </w:r>
          </w:p>
        </w:tc>
        <w:tc>
          <w:tcPr>
            <w:tcW w:type="dxa" w:w="31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Competitive analysis</w:t>
            </w:r>
          </w:p>
        </w:tc>
        <w:tc>
          <w:tcPr>
            <w:tcW w:type="dxa" w:w="33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Sector peers, moat, market share, SWOT</w:t>
            </w:r>
          </w:p>
        </w:tc>
      </w:tr>
      <w:tr>
        <w:trPr>
          <w:tblHeader w:val="false"/>
        </w:trPr>
        <w:tc>
          <w:tcPr>
            <w:tcW w:type="dxa" w:w="29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8. Renaissance Tech</w:t>
            </w:r>
          </w:p>
        </w:tc>
        <w:tc>
          <w:tcPr>
            <w:tcW w:type="dxa" w:w="31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Pattern finder</w:t>
            </w:r>
          </w:p>
        </w:tc>
        <w:tc>
          <w:tcPr>
            <w:tcW w:type="dxa" w:w="33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Seasonality, insider/inst. flows, short interest</w:t>
            </w:r>
          </w:p>
        </w:tc>
      </w:tr>
      <w:tr>
        <w:trPr>
          <w:tblHeader w:val="false"/>
        </w:trPr>
        <w:tc>
          <w:tcPr>
            <w:tcW w:type="dxa" w:w="29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9. McKinsey</w:t>
            </w:r>
          </w:p>
        </w:tc>
        <w:tc>
          <w:tcPr>
            <w:tcW w:type="dxa" w:w="31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Macro impact</w:t>
            </w:r>
          </w:p>
        </w:tc>
        <w:tc>
          <w:tcPr>
            <w:tcW w:type="dxa" w:w="33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Rates, inflation, GDP, FX, sector rotation</w:t>
            </w:r>
          </w:p>
        </w:tc>
      </w:tr>
      <w:tr>
        <w:trPr>
          <w:tblHeader w:val="false"/>
        </w:trPr>
        <w:tc>
          <w:tcPr>
            <w:tcW w:type="dxa" w:w="29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10. Black Box</w:t>
            </w:r>
          </w:p>
        </w:tc>
        <w:tc>
          <w:tcPr>
            <w:tcW w:type="dxa" w:w="31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Proprietary blend</w:t>
            </w:r>
          </w:p>
        </w:tc>
        <w:tc>
          <w:tcPr>
            <w:tcW w:type="dxa" w:w="33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Composite score across all of the above</w:t>
            </w:r>
          </w:p>
        </w:tc>
      </w:tr>
    </w:tbl>
    <w:p>
      <w:pPr>
        <w:spacing w:after="120" w:line="276"/>
      </w:pPr>
      <w:r>
        <w:rPr>
          <w:b/>
          <w:bCs/>
        </w:rPr>
        <w:t xml:space="preserve">Black Box: </w:t>
      </w:r>
      <w:r>
        <w:t xml:space="preserve">a proprietary composite model that blends signals from the other nine plus your fundamental filters into a single conviction score and rating. Its internal weighting is the platform’s “secret sauce” and is fully editable later, as you noted.</w:t>
      </w:r>
    </w:p>
    <w:p>
      <w:pPr>
        <w:pStyle w:val="Heading2"/>
      </w:pPr>
      <w:r>
        <w:t xml:space="preserve">9.1 Claude as the LLM (via MCP)</w:t>
      </w:r>
    </w:p>
    <w:p>
      <w:pPr>
        <w:spacing w:after="120" w:line="276"/>
      </w:pPr>
      <w:r>
        <w:t xml:space="preserve">The verdict layer uses </w:t>
      </w:r>
      <w:r>
        <w:rPr>
          <w:b/>
          <w:bCs/>
        </w:rPr>
        <w:t xml:space="preserve">Claude (Anthropic) exclusively</w:t>
      </w:r>
      <w:r>
        <w:t xml:space="preserve"> — no other LLM is used anywhere in the platform. Claude is connected through the </w:t>
      </w:r>
      <w:r>
        <w:rPr>
          <w:b/>
          <w:bCs/>
        </w:rPr>
        <w:t xml:space="preserve">Model Context Protocol (MCP)</w:t>
      </w:r>
      <w:r>
        <w:t xml:space="preserve">. Instead of the backend manually stuffing data into a prompt, the platform exposes a small </w:t>
      </w:r>
      <w:r>
        <w:rPr>
          <w:b/>
          <w:bCs/>
        </w:rPr>
        <w:t xml:space="preserve">MCP tool server</w:t>
      </w:r>
      <w:r>
        <w:t xml:space="preserve"> that publishes safe, read-only tools Claude can call to fetch exactly the data it needs while reasoning.</w:t>
      </w:r>
    </w:p>
    <w:p>
      <w:pPr>
        <w:spacing w:after="120" w:line="276"/>
      </w:pPr>
      <w:r>
        <w:rPr>
          <w:b/>
          <w:bCs/>
        </w:rPr>
        <w:t xml:space="preserve">Example MCP tools exposed to Claude:</w:t>
      </w:r>
    </w:p>
    <w:p>
      <w:pPr>
        <w:pStyle w:val="ListParagraph"/>
        <w:numPr>
          <w:ilvl w:val="0"/>
          <w:numId w:val="2"/>
        </w:numPr>
        <w:spacing w:after="60" w:line="276"/>
      </w:pPr>
      <w:r>
        <w:t xml:space="preserve">get_quote(symbol) — latest price &amp; day stats.</w:t>
      </w:r>
    </w:p>
    <w:p>
      <w:pPr>
        <w:pStyle w:val="ListParagraph"/>
        <w:numPr>
          <w:ilvl w:val="0"/>
          <w:numId w:val="2"/>
        </w:numPr>
        <w:spacing w:after="60" w:line="276"/>
      </w:pPr>
      <w:r>
        <w:t xml:space="preserve">get_candles(symbol, interval, range) — historical OHLCV for technical work.</w:t>
      </w:r>
    </w:p>
    <w:p>
      <w:pPr>
        <w:pStyle w:val="ListParagraph"/>
        <w:numPr>
          <w:ilvl w:val="0"/>
          <w:numId w:val="2"/>
        </w:numPr>
        <w:spacing w:after="60" w:line="276"/>
      </w:pPr>
      <w:r>
        <w:t xml:space="preserve">get_fundamentals(symbol) — P/E, ROE, EPS, FII/DII, profit growth.</w:t>
      </w:r>
    </w:p>
    <w:p>
      <w:pPr>
        <w:pStyle w:val="ListParagraph"/>
        <w:numPr>
          <w:ilvl w:val="0"/>
          <w:numId w:val="2"/>
        </w:numPr>
        <w:spacing w:after="60" w:line="276"/>
      </w:pPr>
      <w:r>
        <w:t xml:space="preserve">get_indicators(symbol) — pre-computed RSI, MACD, Bollinger, MAs, Fibonacci levels.</w:t>
      </w:r>
    </w:p>
    <w:p>
      <w:pPr>
        <w:pStyle w:val="ListParagraph"/>
        <w:numPr>
          <w:ilvl w:val="0"/>
          <w:numId w:val="2"/>
        </w:numPr>
        <w:spacing w:after="60" w:line="276"/>
      </w:pPr>
      <w:r>
        <w:t xml:space="preserve">run_screener(filters) — returns symbols passing the fundamental rules.</w:t>
      </w:r>
    </w:p>
    <w:p>
      <w:pPr>
        <w:pStyle w:val="ListParagraph"/>
        <w:numPr>
          <w:ilvl w:val="0"/>
          <w:numId w:val="2"/>
        </w:numPr>
        <w:spacing w:after="60" w:line="276"/>
      </w:pPr>
      <w:r>
        <w:t xml:space="preserve">get_portfolio() — current holdings &amp; P&amp;L (for portfolio-level strategies).</w:t>
      </w:r>
    </w:p>
    <w:p>
      <w:pPr>
        <w:spacing w:after="120" w:line="276"/>
      </w:pPr>
      <w:r>
        <w:rPr>
          <w:b/>
          <w:bCs/>
        </w:rPr>
        <w:t xml:space="preserve">How a verdict is produced: </w:t>
      </w:r>
      <w:r>
        <w:t xml:space="preserve">the Python Analysis Service first computes all hard numbers deterministically. It then invokes Claude (through the Agent SDK) with the chosen persona prompt (e.g. “Citadel technical analyst”). Claude calls the MCP tools to pull the exact figures it needs, reasons over them, and returns a structured verdict (rating + entry/stop/target) plus the written memo. Because the numbers come from the tools — not from Claude’s memory — the figures are always grounded and auditable.</w:t>
      </w:r>
    </w:p>
    <w:p>
      <w:pPr>
        <w:spacing w:after="120" w:line="276"/>
      </w:pPr>
      <w:r>
        <w:rPr>
          <w:b/>
          <w:bCs/>
        </w:rPr>
        <w:t xml:space="preserve">Why MCP rather than a plain API call: </w:t>
      </w:r>
      <w:r>
        <w:t xml:space="preserve">MCP keeps a clean, permissioned boundary between Claude and your data, lets Claude fetch only what each strategy requires, and means new data tools can be added without changing prompts. The same MCP server can later be reused so you can also query your platform from the Claude desktop/Cowork app directly.</w:t>
      </w:r>
    </w:p>
    <w:p>
      <w:pPr>
        <w:spacing w:after="120" w:line="276"/>
      </w:pPr>
      <w:r>
        <w:rPr>
          <w:b/>
          <w:bCs/>
        </w:rPr>
        <w:t xml:space="preserve">Can Claude buy &amp; sell stocks through the MCP server? </w:t>
      </w:r>
      <w:r>
        <w:t xml:space="preserve">Technically yes — an order tool (place_order, cancel_order) could be exposed on the MCP server, and it would reach Angel One. By design, however, the MCP tools given to the analysis layer are </w:t>
      </w:r>
      <w:r>
        <w:rPr>
          <w:b/>
          <w:bCs/>
        </w:rPr>
        <w:t xml:space="preserve">read-only</w:t>
      </w:r>
      <w:r>
        <w:t xml:space="preserve">. Order placement is deliberately kept out of the AI's autonomous reach and routed through the Spring Boot Order module with a </w:t>
      </w:r>
      <w:r>
        <w:rPr>
          <w:b/>
          <w:bCs/>
        </w:rPr>
        <w:t xml:space="preserve">mandatory human confirmation step</w:t>
      </w:r>
      <w:r>
        <w:t xml:space="preserve"> plus risk checks (max order value, position size, daily loss limit). So the platform can place real trades, but a person always approves each order — the LLM never fires an order on its own.</w:t>
      </w:r>
    </w:p>
    <w:p>
      <w:pPr>
        <w:spacing w:after="120" w:line="276"/>
      </w:pPr>
      <w:r>
        <w:t xml:space="preserve">If you later want to trigger a confirmed order from a Claude/Cowork chat, an order tool can be added to the MCP server </w:t>
      </w:r>
      <w:r>
        <w:rPr>
          <w:b/>
          <w:bCs/>
        </w:rPr>
        <w:t xml:space="preserve">behind that same confirmation flow</w:t>
      </w:r>
      <w:r>
        <w:t xml:space="preserve"> — it would prepare the order and require your explicit “confirm” before execution, never auto-execute.</w:t>
      </w:r>
    </w:p>
    <w:p>
      <w:pPr>
        <w:pStyle w:val="Heading2"/>
      </w:pPr>
      <w:r>
        <w:t xml:space="preserve">9.2 LLM Access &amp; Cost — Pro Plan, No Paid API</w:t>
      </w:r>
    </w:p>
    <w:p>
      <w:pPr>
        <w:spacing w:after="120" w:line="276"/>
      </w:pPr>
      <w:r>
        <w:t xml:space="preserve">To avoid pay-as-you-go API charges, the LLM layer runs on the </w:t>
      </w:r>
      <w:r>
        <w:rPr>
          <w:b/>
          <w:bCs/>
        </w:rPr>
        <w:t xml:space="preserve">Claude Agent SDK authenticated with the existing Claude Pro subscription</w:t>
      </w:r>
      <w:r>
        <w:t xml:space="preserve"> — not the Console API. Anthropic explicitly supports running Claude Code and the Agent SDK on a Pro/Max plan login. This keeps verdict generation at </w:t>
      </w:r>
      <w:r>
        <w:rPr>
          <w:b/>
          <w:bCs/>
        </w:rPr>
        <w:t xml:space="preserve">$0 extra beyond the Pro plan.</w:t>
      </w:r>
    </w:p>
    <w:p>
      <w:pPr>
        <w:spacing w:after="120" w:line="276"/>
      </w:pPr>
      <w:r>
        <w:rPr>
          <w:b/>
          <w:bCs/>
        </w:rPr>
        <w:t xml:space="preserve">Key implementation rules:</w:t>
      </w:r>
    </w:p>
    <w:p>
      <w:pPr>
        <w:pStyle w:val="ListParagraph"/>
        <w:numPr>
          <w:ilvl w:val="0"/>
          <w:numId w:val="2"/>
        </w:numPr>
        <w:spacing w:after="60" w:line="276"/>
      </w:pPr>
      <w:r>
        <w:rPr>
          <w:b/>
          <w:bCs/>
        </w:rPr>
        <w:t xml:space="preserve">Authenticate with the plan, not an API key. </w:t>
      </w:r>
      <w:r>
        <w:t xml:space="preserve">Use the Pro/Max login; do NOT set the ANTHROPIC_API_KEY environment variable — if that variable is present, billing silently switches to the paid API.</w:t>
      </w:r>
    </w:p>
    <w:p>
      <w:pPr>
        <w:pStyle w:val="ListParagraph"/>
        <w:numPr>
          <w:ilvl w:val="0"/>
          <w:numId w:val="2"/>
        </w:numPr>
        <w:spacing w:after="60" w:line="276"/>
      </w:pPr>
      <w:r>
        <w:rPr>
          <w:b/>
          <w:bCs/>
        </w:rPr>
        <w:t xml:space="preserve">On-demand only. </w:t>
      </w:r>
      <w:r>
        <w:t xml:space="preserve">Verdicts are generated when you request a stock, then cached. The LLM is never run in a continuous loop.</w:t>
      </w:r>
    </w:p>
    <w:p>
      <w:pPr>
        <w:pStyle w:val="ListParagraph"/>
        <w:numPr>
          <w:ilvl w:val="0"/>
          <w:numId w:val="2"/>
        </w:numPr>
        <w:spacing w:after="60" w:line="276"/>
      </w:pPr>
      <w:r>
        <w:rPr>
          <w:b/>
          <w:bCs/>
        </w:rPr>
        <w:t xml:space="preserve">Keep the LLM off the heavy path. </w:t>
      </w:r>
      <w:r>
        <w:t xml:space="preserve">All bulk screening (P/E, ROE, FII/DII, indicators across the whole universe) runs in the deterministic rules engine with no LLM calls; Claude is only invoked to write the final memo for a shortlisted stock.</w:t>
      </w:r>
    </w:p>
    <w:p>
      <w:pPr>
        <w:pStyle w:val="ListParagraph"/>
        <w:numPr>
          <w:ilvl w:val="0"/>
          <w:numId w:val="2"/>
        </w:numPr>
        <w:spacing w:after="60" w:line="276"/>
      </w:pPr>
      <w:r>
        <w:rPr>
          <w:b/>
          <w:bCs/>
        </w:rPr>
        <w:t xml:space="preserve">Respect subscription limits. </w:t>
      </w:r>
      <w:r>
        <w:t xml:space="preserve">Pro has rolling usage caps suited to interactive use. This is fine for personal, on-demand analysis but not for mass scanning. If bulk LLM analysis is needed later, upgrade to Max (more headroom) or add paid API billing — a config change, not a re-architecture.</w:t>
      </w:r>
    </w:p>
    <w:p>
      <w:pPr>
        <w:pStyle w:val="ListParagraph"/>
        <w:numPr>
          <w:ilvl w:val="0"/>
          <w:numId w:val="2"/>
        </w:numPr>
        <w:spacing w:after="60" w:line="276"/>
      </w:pPr>
      <w:r>
        <w:rPr>
          <w:b/>
          <w:bCs/>
        </w:rPr>
        <w:t xml:space="preserve">Multi-user note. </w:t>
      </w:r>
      <w:r>
        <w:t xml:space="preserve">If the platform is shared with another person, each user needs their own Claude plan, or the deployment switches to the paid API. Keep the LLM access layer behind one interface so this swap is trivial.</w:t>
      </w:r>
    </w:p>
    <w:p>
      <w:pPr>
        <w:spacing w:after="120" w:line="276"/>
      </w:pPr>
      <w:r>
        <w:rPr>
          <w:i/>
          <w:iCs/>
        </w:rPr>
        <w:t xml:space="preserve">Tooling: the Analysis Service wraps the Claude Agent SDK (Python or TypeScript); the MCP server is a thin layer over the existing internal APIs. Credentials are stored server-side only and never exposed to the browser.</w:t>
      </w:r>
    </w:p>
    <w:p>
      <w:pPr>
        <w:pStyle w:val="Heading2"/>
      </w:pPr>
      <w:r>
        <w:t xml:space="preserve">9.3 Output of every analysis</w:t>
      </w:r>
    </w:p>
    <w:p>
      <w:pPr>
        <w:pStyle w:val="ListParagraph"/>
        <w:numPr>
          <w:ilvl w:val="0"/>
          <w:numId w:val="2"/>
        </w:numPr>
        <w:spacing w:after="60" w:line="276"/>
      </w:pPr>
      <w:r>
        <w:t xml:space="preserve">A clear rating: Strong Buy / Buy / Neutral / Sell / Strong Sell.</w:t>
      </w:r>
    </w:p>
    <w:p>
      <w:pPr>
        <w:pStyle w:val="ListParagraph"/>
        <w:numPr>
          <w:ilvl w:val="0"/>
          <w:numId w:val="2"/>
        </w:numPr>
        <w:spacing w:after="60" w:line="276"/>
      </w:pPr>
      <w:r>
        <w:t xml:space="preserve">Suggested entry price, stop-loss and profit target with risk-to-reward ratio.</w:t>
      </w:r>
    </w:p>
    <w:p>
      <w:pPr>
        <w:pStyle w:val="ListParagraph"/>
        <w:numPr>
          <w:ilvl w:val="0"/>
          <w:numId w:val="2"/>
        </w:numPr>
        <w:spacing w:after="60" w:line="276"/>
      </w:pPr>
      <w:r>
        <w:t xml:space="preserve">The supporting numbers (so the verdict is auditable).</w:t>
      </w:r>
    </w:p>
    <w:p>
      <w:pPr>
        <w:pStyle w:val="ListParagraph"/>
        <w:numPr>
          <w:ilvl w:val="0"/>
          <w:numId w:val="2"/>
        </w:numPr>
        <w:spacing w:after="60" w:line="276"/>
      </w:pPr>
      <w:r>
        <w:t xml:space="preserve">A short analyst-style write-up in the chosen persona’s voice.</w:t>
      </w:r>
    </w:p>
    <w:p>
      <w:pPr>
        <w:pStyle w:val="Heading1"/>
      </w:pPr>
      <w:r>
        <w:t xml:space="preserve">10. High-Level Data Model</w:t>
      </w:r>
    </w:p>
    <w:p>
      <w:pPr>
        <w:spacing w:after="120" w:line="276"/>
      </w:pPr>
      <w:r>
        <w:t xml:space="preserve">Core entities (relational, in PostgreSQL unless noted):</w:t>
      </w:r>
    </w:p>
    <w:p>
      <w:pPr>
        <w:pStyle w:val="ListParagraph"/>
        <w:numPr>
          <w:ilvl w:val="0"/>
          <w:numId w:val="2"/>
        </w:numPr>
        <w:spacing w:after="60" w:line="276"/>
      </w:pPr>
      <w:r>
        <w:rPr>
          <w:b/>
          <w:bCs/>
        </w:rPr>
        <w:t xml:space="preserve">User</w:t>
      </w:r>
      <w:r>
        <w:t xml:space="preserve"> — profile, roles, broker credentials (encrypted).</w:t>
      </w:r>
    </w:p>
    <w:p>
      <w:pPr>
        <w:pStyle w:val="ListParagraph"/>
        <w:numPr>
          <w:ilvl w:val="0"/>
          <w:numId w:val="2"/>
        </w:numPr>
        <w:spacing w:after="60" w:line="276"/>
      </w:pPr>
      <w:r>
        <w:rPr>
          <w:b/>
          <w:bCs/>
        </w:rPr>
        <w:t xml:space="preserve">Instrument</w:t>
      </w:r>
      <w:r>
        <w:t xml:space="preserve"> — symbol, exchange (NSE/BSE), token, sector, lot size.</w:t>
      </w:r>
    </w:p>
    <w:p>
      <w:pPr>
        <w:pStyle w:val="ListParagraph"/>
        <w:numPr>
          <w:ilvl w:val="0"/>
          <w:numId w:val="2"/>
        </w:numPr>
        <w:spacing w:after="60" w:line="276"/>
      </w:pPr>
      <w:r>
        <w:rPr>
          <w:b/>
          <w:bCs/>
        </w:rPr>
        <w:t xml:space="preserve">PriceCandle</w:t>
      </w:r>
      <w:r>
        <w:t xml:space="preserve"> — OHLCV time-series (TimescaleDB/InfluxDB).</w:t>
      </w:r>
    </w:p>
    <w:p>
      <w:pPr>
        <w:pStyle w:val="ListParagraph"/>
        <w:numPr>
          <w:ilvl w:val="0"/>
          <w:numId w:val="2"/>
        </w:numPr>
        <w:spacing w:after="60" w:line="276"/>
      </w:pPr>
      <w:r>
        <w:rPr>
          <w:b/>
          <w:bCs/>
        </w:rPr>
        <w:t xml:space="preserve">Fundamental</w:t>
      </w:r>
      <w:r>
        <w:t xml:space="preserve"> — P/E, ROE, EPS, FII/DII, profit growth per instrument, dated.</w:t>
      </w:r>
    </w:p>
    <w:p>
      <w:pPr>
        <w:pStyle w:val="ListParagraph"/>
        <w:numPr>
          <w:ilvl w:val="0"/>
          <w:numId w:val="2"/>
        </w:numPr>
        <w:spacing w:after="60" w:line="276"/>
      </w:pPr>
      <w:r>
        <w:rPr>
          <w:b/>
          <w:bCs/>
        </w:rPr>
        <w:t xml:space="preserve">Watchlist / WatchItem</w:t>
      </w:r>
      <w:r>
        <w:t xml:space="preserve"> — user-curated symbol lists.</w:t>
      </w:r>
    </w:p>
    <w:p>
      <w:pPr>
        <w:pStyle w:val="ListParagraph"/>
        <w:numPr>
          <w:ilvl w:val="0"/>
          <w:numId w:val="2"/>
        </w:numPr>
        <w:spacing w:after="60" w:line="276"/>
      </w:pPr>
      <w:r>
        <w:rPr>
          <w:b/>
          <w:bCs/>
        </w:rPr>
        <w:t xml:space="preserve">AnalysisReport</w:t>
      </w:r>
      <w:r>
        <w:t xml:space="preserve"> — strategy, signals, rating, entry/stop/target, memo, timestamp.</w:t>
      </w:r>
    </w:p>
    <w:p>
      <w:pPr>
        <w:pStyle w:val="ListParagraph"/>
        <w:numPr>
          <w:ilvl w:val="0"/>
          <w:numId w:val="2"/>
        </w:numPr>
        <w:spacing w:after="60" w:line="276"/>
      </w:pPr>
      <w:r>
        <w:rPr>
          <w:b/>
          <w:bCs/>
        </w:rPr>
        <w:t xml:space="preserve">Alert</w:t>
      </w:r>
      <w:r>
        <w:t xml:space="preserve"> — condition, channel, status.</w:t>
      </w:r>
    </w:p>
    <w:p>
      <w:pPr>
        <w:pStyle w:val="ListParagraph"/>
        <w:numPr>
          <w:ilvl w:val="0"/>
          <w:numId w:val="2"/>
        </w:numPr>
        <w:spacing w:after="60" w:line="276"/>
      </w:pPr>
      <w:r>
        <w:rPr>
          <w:b/>
          <w:bCs/>
        </w:rPr>
        <w:t xml:space="preserve">Order</w:t>
      </w:r>
      <w:r>
        <w:t xml:space="preserve"> — broker ref, type, qty, price, status, fills.</w:t>
      </w:r>
    </w:p>
    <w:p>
      <w:pPr>
        <w:pStyle w:val="ListParagraph"/>
        <w:numPr>
          <w:ilvl w:val="0"/>
          <w:numId w:val="2"/>
        </w:numPr>
        <w:spacing w:after="60" w:line="276"/>
      </w:pPr>
      <w:r>
        <w:rPr>
          <w:b/>
          <w:bCs/>
        </w:rPr>
        <w:t xml:space="preserve">Position / Holding</w:t>
      </w:r>
      <w:r>
        <w:t xml:space="preserve"> — current portfolio, average price, P&amp;L.</w:t>
      </w:r>
    </w:p>
    <w:p>
      <w:pPr>
        <w:pStyle w:val="Heading1"/>
      </w:pPr>
      <w:r>
        <w:t xml:space="preserve">11. Security, Safety &amp; Compliance</w:t>
      </w:r>
    </w:p>
    <w:p>
      <w:pPr>
        <w:pStyle w:val="ListParagraph"/>
        <w:numPr>
          <w:ilvl w:val="0"/>
          <w:numId w:val="2"/>
        </w:numPr>
        <w:spacing w:after="60" w:line="276"/>
      </w:pPr>
      <w:r>
        <w:t xml:space="preserve">Broker tokens &amp; API secrets encrypted at rest; never sent to the browser.</w:t>
      </w:r>
    </w:p>
    <w:p>
      <w:pPr>
        <w:pStyle w:val="ListParagraph"/>
        <w:numPr>
          <w:ilvl w:val="0"/>
          <w:numId w:val="2"/>
        </w:numPr>
        <w:spacing w:after="60" w:line="276"/>
      </w:pPr>
      <w:r>
        <w:t xml:space="preserve">All trading actions require explicit user confirmation; no silent auto-execution in v1.</w:t>
      </w:r>
    </w:p>
    <w:p>
      <w:pPr>
        <w:pStyle w:val="ListParagraph"/>
        <w:numPr>
          <w:ilvl w:val="0"/>
          <w:numId w:val="2"/>
        </w:numPr>
        <w:spacing w:after="60" w:line="276"/>
      </w:pPr>
      <w:r>
        <w:t xml:space="preserve">Pre-trade risk checks: max order value, max position size, daily loss limit, “are you sure” guardrails.</w:t>
      </w:r>
    </w:p>
    <w:p>
      <w:pPr>
        <w:pStyle w:val="ListParagraph"/>
        <w:numPr>
          <w:ilvl w:val="0"/>
          <w:numId w:val="2"/>
        </w:numPr>
        <w:spacing w:after="60" w:line="276"/>
      </w:pPr>
      <w:r>
        <w:t xml:space="preserve">Full audit log of every order and every AI verdict shown before an order.</w:t>
      </w:r>
    </w:p>
    <w:p>
      <w:pPr>
        <w:pStyle w:val="ListParagraph"/>
        <w:numPr>
          <w:ilvl w:val="0"/>
          <w:numId w:val="2"/>
        </w:numPr>
        <w:spacing w:after="60" w:line="276"/>
      </w:pPr>
      <w:r>
        <w:t xml:space="preserve">Clear, persistent disclaimer: analysis is decision-support, not SEBI-registered advice.</w:t>
      </w:r>
    </w:p>
    <w:p>
      <w:pPr>
        <w:pStyle w:val="ListParagraph"/>
        <w:numPr>
          <w:ilvl w:val="0"/>
          <w:numId w:val="2"/>
        </w:numPr>
        <w:spacing w:after="60" w:line="276"/>
      </w:pPr>
      <w:r>
        <w:t xml:space="preserve">Multi-tenant-ready isolation: all data scoped by user from day one.</w:t>
      </w:r>
    </w:p>
    <w:p>
      <w:pPr>
        <w:pStyle w:val="ListParagraph"/>
        <w:numPr>
          <w:ilvl w:val="0"/>
          <w:numId w:val="2"/>
        </w:numPr>
        <w:spacing w:after="60" w:line="276"/>
      </w:pPr>
      <w:r>
        <w:t xml:space="preserve">Secrets in a vault/.env, HTTPS everywhere, role-based access control.</w:t>
      </w:r>
    </w:p>
    <w:p>
      <w:pPr>
        <w:pStyle w:val="Heading1"/>
      </w:pPr>
      <w:r>
        <w:t xml:space="preserve">12. Responsive UI Approach</w:t>
      </w:r>
    </w:p>
    <w:p>
      <w:pPr>
        <w:spacing w:after="120" w:line="276"/>
      </w:pPr>
      <w:r>
        <w:t xml:space="preserve">The UI is mobile-first and adapts across breakpoints so the dashboard is usable on a phone, tablet or desktop.</w:t>
      </w:r>
    </w:p>
    <w:p>
      <w:pPr>
        <w:pStyle w:val="ListParagraph"/>
        <w:numPr>
          <w:ilvl w:val="0"/>
          <w:numId w:val="2"/>
        </w:numPr>
        <w:spacing w:after="60" w:line="276"/>
      </w:pPr>
      <w:r>
        <w:t xml:space="preserve">Fluid grid + Tailwind responsive utilities; charts resize to container.</w:t>
      </w:r>
    </w:p>
    <w:p>
      <w:pPr>
        <w:pStyle w:val="ListParagraph"/>
        <w:numPr>
          <w:ilvl w:val="0"/>
          <w:numId w:val="2"/>
        </w:numPr>
        <w:spacing w:after="60" w:line="276"/>
      </w:pPr>
      <w:r>
        <w:t xml:space="preserve">Desktop: multi-panel layout (watchlist + chart + analysis side-by-side).</w:t>
      </w:r>
    </w:p>
    <w:p>
      <w:pPr>
        <w:pStyle w:val="ListParagraph"/>
        <w:numPr>
          <w:ilvl w:val="0"/>
          <w:numId w:val="2"/>
        </w:numPr>
        <w:spacing w:after="60" w:line="276"/>
      </w:pPr>
      <w:r>
        <w:t xml:space="preserve">Tablet: two-column collapsible panels.</w:t>
      </w:r>
    </w:p>
    <w:p>
      <w:pPr>
        <w:pStyle w:val="ListParagraph"/>
        <w:numPr>
          <w:ilvl w:val="0"/>
          <w:numId w:val="2"/>
        </w:numPr>
        <w:spacing w:after="60" w:line="276"/>
      </w:pPr>
      <w:r>
        <w:t xml:space="preserve">Mobile: single-column, tabbed navigation (Chart / Analysis / Order / Alerts).</w:t>
      </w:r>
    </w:p>
    <w:p>
      <w:pPr>
        <w:pStyle w:val="ListParagraph"/>
        <w:numPr>
          <w:ilvl w:val="0"/>
          <w:numId w:val="2"/>
        </w:numPr>
        <w:spacing w:after="60" w:line="276"/>
      </w:pPr>
      <w:r>
        <w:t xml:space="preserve">Touch-friendly controls and bottom navigation on small screens.</w:t>
      </w:r>
    </w:p>
    <w:p>
      <w:pPr>
        <w:pStyle w:val="ListParagraph"/>
        <w:numPr>
          <w:ilvl w:val="0"/>
          <w:numId w:val="2"/>
        </w:numPr>
        <w:spacing w:after="60" w:line="276"/>
      </w:pPr>
      <w:r>
        <w:t xml:space="preserve">Dark/light theme; live values update in place without full reloads.</w:t>
      </w:r>
    </w:p>
    <w:p>
      <w:pPr>
        <w:pStyle w:val="Heading1"/>
      </w:pPr>
      <w:r>
        <w:t xml:space="preserve">13. Delivery Phases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Phase</w:t>
            </w:r>
          </w:p>
        </w:tc>
        <w:tc>
          <w:tcPr>
            <w:tcW w:type="dxa" w:w="360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Theme</w:t>
            </w:r>
          </w:p>
        </w:tc>
        <w:tc>
          <w:tcPr>
            <w:tcW w:type="dxa" w:w="4260"/>
            <w:tcBorders>
              <w:top w:val="single" w:color="C9D8D0" w:sz="1"/>
              <w:left w:val="single" w:color="C9D8D0" w:sz="1"/>
              <w:bottom w:val="single" w:color="C9D8D0" w:sz="1"/>
              <w:right w:val="single" w:color="C9D8D0" w:sz="1"/>
            </w:tcBorders>
            <w:shd w:fill="1F6F4C" w:val="clear"/>
            <w:tcMar>
              <w:top w:type="dxa" w:w="70"/>
              <w:left w:type="dxa" w:w="110"/>
              <w:bottom w:type="dxa" w:w="70"/>
              <w:right w:type="dxa" w:w="110"/>
            </w:tcMar>
          </w:tcPr>
          <w:p>
            <w:pPr>
              <w:jc w:val="left"/>
            </w:pPr>
            <w:r>
              <w:rPr>
                <w:b/>
                <w:bCs/>
              </w:rPr>
              <w:t xml:space="preserve">Deliverables</w:t>
            </w:r>
          </w:p>
        </w:tc>
      </w:tr>
      <w:tr>
        <w:trPr>
          <w:tblHeader w:val="false"/>
        </w:trPr>
        <w:tc>
          <w:tcPr>
            <w:tcW w:type="dxa" w:w="15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Phase 1</w:t>
            </w:r>
          </w:p>
        </w:tc>
        <w:tc>
          <w:tcPr>
            <w:tcW w:type="dxa" w:w="3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Foundation &amp; data</w:t>
            </w:r>
          </w:p>
        </w:tc>
        <w:tc>
          <w:tcPr>
            <w:tcW w:type="dxa" w:w="42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Angel One auth, symbol master, live + historical data, basic responsive dashboard with charts.</w:t>
            </w:r>
          </w:p>
        </w:tc>
      </w:tr>
      <w:tr>
        <w:trPr>
          <w:tblHeader w:val="false"/>
        </w:trPr>
        <w:tc>
          <w:tcPr>
            <w:tcW w:type="dxa" w:w="15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Phase 2</w:t>
            </w:r>
          </w:p>
        </w:tc>
        <w:tc>
          <w:tcPr>
            <w:tcW w:type="dxa" w:w="36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Screening &amp; indicators</w:t>
            </w:r>
          </w:p>
        </w:tc>
        <w:tc>
          <w:tcPr>
            <w:tcW w:type="dxa" w:w="42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Fundamentals integration, screener, technical indicators (Fibonacci, MA, RSI, MACD, BB).</w:t>
            </w:r>
          </w:p>
        </w:tc>
      </w:tr>
      <w:tr>
        <w:trPr>
          <w:tblHeader w:val="false"/>
        </w:trPr>
        <w:tc>
          <w:tcPr>
            <w:tcW w:type="dxa" w:w="15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Phase 3</w:t>
            </w:r>
          </w:p>
        </w:tc>
        <w:tc>
          <w:tcPr>
            <w:tcW w:type="dxa" w:w="3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AI analysis</w:t>
            </w:r>
          </w:p>
        </w:tc>
        <w:tc>
          <w:tcPr>
            <w:tcW w:type="dxa" w:w="42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The 10 strategies, LLM verdict layer, analysis report card with ratings.</w:t>
            </w:r>
          </w:p>
        </w:tc>
      </w:tr>
      <w:tr>
        <w:trPr>
          <w:tblHeader w:val="false"/>
        </w:trPr>
        <w:tc>
          <w:tcPr>
            <w:tcW w:type="dxa" w:w="15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Phase 4</w:t>
            </w:r>
          </w:p>
        </w:tc>
        <w:tc>
          <w:tcPr>
            <w:tcW w:type="dxa" w:w="36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Alerts &amp; portfolio</w:t>
            </w:r>
          </w:p>
        </w:tc>
        <w:tc>
          <w:tcPr>
            <w:tcW w:type="dxa" w:w="42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Alert engine, watchlists, portfolio &amp; risk view.</w:t>
            </w:r>
          </w:p>
        </w:tc>
      </w:tr>
      <w:tr>
        <w:trPr>
          <w:tblHeader w:val="false"/>
        </w:trPr>
        <w:tc>
          <w:tcPr>
            <w:tcW w:type="dxa" w:w="15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Phase 5</w:t>
            </w:r>
          </w:p>
        </w:tc>
        <w:tc>
          <w:tcPr>
            <w:tcW w:type="dxa" w:w="360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Live trading</w:t>
            </w:r>
          </w:p>
        </w:tc>
        <w:tc>
          <w:tcPr>
            <w:tcW w:type="dxa" w:w="4260"/>
            <w:tcBorders>
              <w:top w:val="single" w:color="C9D8D0" w:sz="1"/>
              <w:left w:val="single" w:color="C9D8D0" w:sz="1"/>
              <w:bottom w:val="single" w:color="C9D8D0" w:sz="1"/>
              <w:right w:val="single" w:color="C9D8D0" w:sz="1"/>
            </w:tcBorders>
            <w:shd w:fill="FFFFFF" w:val="clear"/>
            <w:tcMar>
              <w:top w:type="dxa" w:w="70"/>
              <w:left w:type="dxa" w:w="110"/>
              <w:bottom w:type="dxa" w:w="70"/>
              <w:right w:type="dxa" w:w="110"/>
            </w:tcMar>
          </w:tcPr>
          <w:p>
            <w:pPr>
              <w:jc w:val="left"/>
            </w:pPr>
            <w:r>
              <w:rPr>
                <w:b w:val="false"/>
                <w:bCs w:val="false"/>
                <w:color w:val="000000"/>
              </w:rPr>
              <w:t xml:space="preserve">Order management, risk checks, order status streaming.</w:t>
            </w:r>
          </w:p>
        </w:tc>
      </w:tr>
      <w:tr>
        <w:trPr>
          <w:tblHeader w:val="false"/>
        </w:trPr>
        <w:tc>
          <w:tcPr>
            <w:tcW w:type="dxa" w:w="15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Phase 6</w:t>
            </w:r>
          </w:p>
        </w:tc>
        <w:tc>
          <w:tcPr>
            <w:tcW w:type="dxa" w:w="360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Hardening &amp; multi-user</w:t>
            </w:r>
          </w:p>
        </w:tc>
        <w:tc>
          <w:tcPr>
            <w:tcW w:type="dxa" w:w="4260"/>
            <w:tcBorders>
              <w:top w:val="single" w:color="C9D8D0" w:sz="1"/>
              <w:left w:val="single" w:color="C9D8D0" w:sz="1"/>
              <w:bottom w:val="single" w:color="C9D8D0" w:sz="1"/>
              <w:right w:val="single" w:color="C9D8D0" w:sz="1"/>
            </w:tcBorders>
            <w:shd w:fill="EAF3EF" w:val="clear"/>
            <w:tcMar>
              <w:top w:type="dxa" w:w="70"/>
              <w:left w:type="dxa" w:w="110"/>
              <w:bottom w:type="dxa" w:w="70"/>
              <w:right w:type="dxa" w:w="110"/>
            </w:tcMar>
          </w:tcPr>
          <w:p>
            <w:pPr>
              <w:jc w:val="left"/>
            </w:pPr>
            <w:r>
              <w:rPr>
                <w:b w:val="false"/>
                <w:bCs w:val="false"/>
                <w:color w:val="000000"/>
              </w:rPr>
              <w:t xml:space="preserve">Security review, audit logs, enable second user.</w:t>
            </w:r>
          </w:p>
        </w:tc>
      </w:tr>
    </w:tbl>
    <w:p>
      <w:pPr>
        <w:pStyle w:val="Heading1"/>
      </w:pPr>
      <w:r>
        <w:t xml:space="preserve">14. Key Risks &amp; Assumptions</w:t>
      </w:r>
    </w:p>
    <w:p>
      <w:pPr>
        <w:pStyle w:val="ListParagraph"/>
        <w:numPr>
          <w:ilvl w:val="0"/>
          <w:numId w:val="2"/>
        </w:numPr>
        <w:spacing w:after="60" w:line="276"/>
      </w:pPr>
      <w:r>
        <w:t xml:space="preserve">Fundamentals are not in SmartAPI — covered free via Yahoo (yfinance) + BSE/NSE filings, but these are unofficial/quarterly; expect occasional gaps and refresh on a schedule.</w:t>
      </w:r>
    </w:p>
    <w:p>
      <w:pPr>
        <w:pStyle w:val="ListParagraph"/>
        <w:numPr>
          <w:ilvl w:val="0"/>
          <w:numId w:val="2"/>
        </w:numPr>
        <w:spacing w:after="60" w:line="276"/>
      </w:pPr>
      <w:r>
        <w:t xml:space="preserve">SmartAPI rules are tightening (OAuth, SEBI) — broker adapter must be easy to update.</w:t>
      </w:r>
    </w:p>
    <w:p>
      <w:pPr>
        <w:pStyle w:val="ListParagraph"/>
        <w:numPr>
          <w:ilvl w:val="0"/>
          <w:numId w:val="2"/>
        </w:numPr>
        <w:spacing w:after="60" w:line="276"/>
      </w:pPr>
      <w:r>
        <w:t xml:space="preserve">LLM output must be grounded in the computed numbers to avoid “hallucinated” figures; the rules engine always supplies the facts.</w:t>
      </w:r>
    </w:p>
    <w:p>
      <w:pPr>
        <w:pStyle w:val="ListParagraph"/>
        <w:numPr>
          <w:ilvl w:val="0"/>
          <w:numId w:val="2"/>
        </w:numPr>
        <w:spacing w:after="60" w:line="276"/>
      </w:pPr>
      <w:r>
        <w:t xml:space="preserve">Running Claude on the Pro subscription (Agent SDK) keeps cost at zero but imposes usage caps — design must stay on-demand; bulk LLM scanning needs Max or paid API.</w:t>
      </w:r>
    </w:p>
    <w:p>
      <w:pPr>
        <w:pStyle w:val="ListParagraph"/>
        <w:numPr>
          <w:ilvl w:val="0"/>
          <w:numId w:val="2"/>
        </w:numPr>
        <w:spacing w:after="60" w:line="276"/>
      </w:pPr>
      <w:r>
        <w:t xml:space="preserve">Live trading is high-risk — strong confirmation and risk limits are mandatory.</w:t>
      </w:r>
    </w:p>
    <w:p>
      <w:pPr>
        <w:pStyle w:val="ListParagraph"/>
        <w:numPr>
          <w:ilvl w:val="0"/>
          <w:numId w:val="2"/>
        </w:numPr>
        <w:spacing w:after="60" w:line="276"/>
      </w:pPr>
      <w:r>
        <w:t xml:space="preserve">Market-data licensing terms must be respected if the app is ever shared with another user.</w:t>
      </w:r>
    </w:p>
    <w:p>
      <w:pPr>
        <w:pStyle w:val="Heading1"/>
      </w:pPr>
      <w:r>
        <w:t xml:space="preserve">15. Next Step</w:t>
      </w:r>
    </w:p>
    <w:p>
      <w:pPr>
        <w:spacing w:after="120" w:line="276"/>
      </w:pPr>
      <w:r>
        <w:t xml:space="preserve">With this HLD agreed, the next document is the Low-Level Design (LLD): exact API contracts between Next.js, Spring Boot and the Python service; database schemas; the indicator and strategy algorithms in detail; the LLM prompt templates per persona; sequence diagrams; and the order/risk state machine. After that, we begin building Phase 1.</w:t>
      </w:r>
    </w:p>
    <w:p>
      <w:pPr>
        <w:spacing w:after="120" w:line="276"/>
      </w:pPr>
      <w:r>
        <w:rPr>
          <w:b/>
          <w:bCs/>
        </w:rPr>
        <w:t xml:space="preserve">Recommended decision before LLD: </w:t>
      </w:r>
      <w:r>
        <w:t xml:space="preserve">pick the fundamentals data source, since several screening rules depend on it.</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v1.0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4C" w:sz="4" w:space="4"/>
      </w:pBdr>
      <w:jc w:val="right"/>
    </w:pPr>
    <w:r>
      <w:rPr>
        <w:color w:val="888888"/>
        <w:sz w:val="16"/>
        <w:szCs w:val="16"/>
      </w:rPr>
      <w:t xml:space="preserve">EaseTrading · High-Level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10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B3D2E"/>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6F4C"/>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EaseTrading HLD</dc:title>
  <dc:creator>EaseTrading</dc:creator>
  <cp:lastModifiedBy>Un-named</cp:lastModifiedBy>
  <cp:revision>1</cp:revision>
  <dcterms:created xsi:type="dcterms:W3CDTF">2026-06-20T11:35:38.134Z</dcterms:created>
  <dcterms:modified xsi:type="dcterms:W3CDTF">2026-06-20T11:35:38.141Z</dcterms:modified>
</cp:coreProperties>
</file>

<file path=docProps/custom.xml><?xml version="1.0" encoding="utf-8"?>
<Properties xmlns="http://schemas.openxmlformats.org/officeDocument/2006/custom-properties" xmlns:vt="http://schemas.openxmlformats.org/officeDocument/2006/docPropsVTypes"/>
</file>