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📊 Korean Fresh &amp; Frozen Abalone Trade EDA &amp; Global B2B Strategy Report</w:t>
      </w:r>
    </w:p>
    <w:p>
      <w:pPr>
        <w:pStyle w:val="Heading1"/>
      </w:pPr>
      <w:r>
        <w:rPr>
          <w:color w:val="1F497D"/>
        </w:rPr>
        <w:t>📌 1. Executive Summary &amp; Size Specification Pricing Matrix</w:t>
      </w:r>
    </w:p>
    <w:p>
      <w:pPr>
        <w:spacing w:line="300" w:lineRule="auto"/>
      </w:pPr>
      <w:r>
        <w:t>This report synthesizes UN Comtrade trade statistics to provide a comprehensive analysis of global import market structures, price points, size specifications, and local distributor sourcing targets for Korean Abalone exporters.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