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PROPOSAL · 2026-08-19 · CONFIDENTIAL</w:t>
      </w:r>
    </w:p>
    <w:p>
      <w:pPr>
        <w:pStyle w:val="MaslowTitle"/>
      </w:pPr>
      <w:r>
        <w:t>Intake and decision preparation</w:t>
      </w:r>
    </w:p>
    <w:p>
      <w:pPr>
        <w:pStyle w:val="MaslowSubtitle"/>
      </w:pPr>
      <w:r>
        <w:t>A working session for operations leaders to define ownership, the human decision, and the first deliverable.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OWNER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Operations lead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DECISION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Approve the final recommendation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DELIVERABLE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Decision-ready workflow brief</w:t>
            </w:r>
          </w:p>
        </w:tc>
      </w:tr>
    </w:tbl>
    <w:p>
      <w:pPr>
        <w:pStyle w:val="Heading1"/>
      </w:pPr>
      <w:r>
        <w:t>Scope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792"/>
        <w:gridCol w:w="3024"/>
        <w:gridCol w:w="6120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01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Define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Workflow, owner, and decision boundary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02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Prepare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Evidence-backed draft deliverable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03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Review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Approved deliverable and receipt</w:t>
            </w:r>
          </w:p>
        </w:tc>
      </w:tr>
    </w:tbl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ILLUSTRATIVE · Maslow Brand OS blind-build fixture</w:t>
            </w:r>
          </w:p>
          <w:p>
            <w:pPr/>
            <w:r>
              <w:t>Example workflow structure for template and validation testing.</w:t>
            </w:r>
          </w:p>
        </w:tc>
      </w:tr>
    </w:tbl>
    <w:p>
      <w:pPr>
        <w:spacing w:before="320" w:after="0"/>
        <w:shd w:fill="192332"/>
        <w:pBdr>
          <w:bottom w:val="single" w:sz="18" w:space="0" w:color="EE7BB3"/>
        </w:pBdr>
      </w:pPr>
      <w:r>
        <w:rPr>
          <w:rFonts w:ascii="Manrope" w:hAnsi="Manrope"/>
          <w:b/>
          <w:i w:val="0"/>
          <w:color w:val="FFFFFF"/>
          <w:sz w:val="20"/>
        </w:rPr>
        <w:t xml:space="preserve">  BOOK A WORKING SESSION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1.1.0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proposal template</dc:title>
  <dc:subject>Editable outcome-first proposal</dc:subject>
  <dc:creator>Maslow AI</dc:creator>
  <cp:keywords>Maslow Brand OS 1.1.0,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