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76" w:lineRule="auto"/>
        <w:rPr>
          <w:rFonts w:ascii="Roboto" w:cs="Roboto" w:eastAsia="Roboto" w:hAnsi="Roboto"/>
          <w:b w:val="1"/>
          <w:color w:val="1a1a1a"/>
        </w:rPr>
      </w:pPr>
      <w:r w:rsidDel="00000000" w:rsidR="00000000" w:rsidRPr="00000000">
        <w:rPr>
          <w:rFonts w:ascii="Roboto" w:cs="Roboto" w:eastAsia="Roboto" w:hAnsi="Roboto"/>
          <w:b w:val="1"/>
          <w:color w:val="1a1a1a"/>
          <w:sz w:val="24"/>
          <w:szCs w:val="24"/>
          <w:rtl w:val="0"/>
        </w:rPr>
        <w:t xml:space="preserve">Wrapping up: “Rewrite Board to use two loops to make the squares instead of hardcoding them”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Logic applied in the third feature to maintain the numbers for the individual squares and the “key” value: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0 -&gt; 0 1 2 rowIndex * 3 -&gt; 0+0=0 /// 1+0=1 /// 2+0=2 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1 -&gt; 0 1 2 rowIndex * 3 -&gt; 0+3=3 /// 1+3=4 /// 2+3=5</w:t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2 -&gt; 0 1 2 rowIndex * 3 -&gt; 0+6=6 /// 1+6=7 /// 2+6=8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