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B8A"/>
          <w:sz w:val="44"/>
          <w:szCs w:val="44"/>
        </w:rPr>
        <w:t xml:space="preserve">EXPLANATORY NOTES</w:t>
      </w:r>
    </w:p>
    <w:p>
      <w:pPr>
        <w:spacing w:after="300"/>
      </w:pPr>
      <w:r>
        <w:rPr>
          <w:b/>
          <w:bCs/>
          <w:color w:val="595959"/>
          <w:sz w:val="26"/>
          <w:szCs w:val="26"/>
        </w:rPr>
        <w:t xml:space="preserve">LangChain — Framework for Building LLM-Powered Applications</w:t>
      </w:r>
    </w:p>
    <w:p>
      <w:pPr>
        <w:pBdr>
          <w:bottom w:val="single" w:color="2E5B8A" w:sz="6" w:space="8"/>
        </w:pBdr>
        <w:spacing w:after="400"/>
      </w:pPr>
    </w:p>
    <w:p>
      <w:pPr>
        <w:pStyle w:val="Heading1"/>
        <w:spacing w:after="160" w:before="360"/>
      </w:pPr>
      <w:r>
        <w:t xml:space="preserve">1. What is LangChain?</w:t>
      </w:r>
    </w:p>
    <w:p>
      <w:pPr>
        <w:spacing w:after="160" w:line="300"/>
      </w:pPr>
      <w:r>
        <w:rPr>
          <w:color w:val="1A1A1A"/>
          <w:sz w:val="22"/>
          <w:szCs w:val="22"/>
        </w:rPr>
        <w:t xml:space="preserve">LangChain is an open-source framework that helps developers build applications powered by large language models (LLMs). Instead of calling a model API in isolation, LangChain provides reusable building blocks — prompts, chains, memory, agents, and retrievers — that let a model interact with external data, tools, and multi-step logic.</w:t>
      </w:r>
    </w:p>
    <w:p>
      <w:pPr>
        <w:spacing w:after="160" w:line="300"/>
      </w:pPr>
      <w:r>
        <w:rPr>
          <w:color w:val="1A1A1A"/>
          <w:sz w:val="22"/>
          <w:szCs w:val="22"/>
        </w:rPr>
        <w:t xml:space="preserve">In short: an LLM on its own can only respond to the text it is given. LangChain wraps the LLM with structure so it can read documents, call APIs, remember prior conversation, and decide what action to take next.</w:t>
      </w:r>
    </w:p>
    <w:tbl>
      <w:tblPr>
        <w:tblW w:type="pct" w:w="100%"/>
        <w:tblBorders>
          <w:top w:val="single" w:color="2E5B8A" w:sz="4"/>
          <w:left w:val="single" w:color="2E5B8A" w:sz="4"/>
          <w:bottom w:val="single" w:color="2E5B8A" w:sz="4"/>
          <w:right w:val="single" w:color="2E5B8A" w:sz="4"/>
          <w:insideH w:val="none" w:color="FFFFFF" w:sz="0"/>
          <w:insideV w:val="none" w:color="FFFFFF" w:sz="0"/>
        </w:tblBorders>
      </w:tblPr>
      <w:tblGrid>
        <w:gridCol w:w="100"/>
      </w:tblGrid>
      <w:tr>
        <w:tc>
          <w:tcPr>
            <w:tcW w:type="pct" w:w="100%"/>
            <w:shd w:fill="DCE6F0" w:color="auto" w:val="clear"/>
            <w:tcMar>
              <w:top w:type="dxa" w:w="150"/>
              <w:left w:type="dxa" w:w="200"/>
              <w:bottom w:type="dxa" w:w="150"/>
              <w:right w:type="dxa" w:w="200"/>
            </w:tcMar>
          </w:tcPr>
          <w:p>
            <w:r>
              <w:rPr>
                <w:b/>
                <w:bCs/>
                <w:color w:val="2E5B8A"/>
                <w:sz w:val="21"/>
                <w:szCs w:val="21"/>
              </w:rPr>
              <w:t xml:space="preserve">Note: </w:t>
            </w:r>
            <w:r>
              <w:rPr>
                <w:i/>
                <w:iCs/>
                <w:color w:val="1A1A1A"/>
                <w:sz w:val="21"/>
                <w:szCs w:val="21"/>
              </w:rPr>
              <w:t xml:space="preserve">LangChain is a framework, not a model. It works with any LLM provider (OpenAI, Anthropic, Google, open-source models via Hugging Face, Ollama, etc.) through a common interface.</w:t>
            </w:r>
          </w:p>
        </w:tc>
      </w:tr>
    </w:tbl>
    <w:p>
      <w:pPr>
        <w:pStyle w:val="Heading1"/>
        <w:spacing w:after="160" w:before="360"/>
      </w:pPr>
      <w:r>
        <w:t xml:space="preserve">2. Why LangChain Exists</w:t>
      </w:r>
    </w:p>
    <w:p>
      <w:pPr>
        <w:spacing w:after="160" w:line="300"/>
      </w:pPr>
      <w:r>
        <w:rPr>
          <w:color w:val="1A1A1A"/>
          <w:sz w:val="22"/>
          <w:szCs w:val="22"/>
        </w:rPr>
        <w:t xml:space="preserve">Building production LLM applications by hand usually means solving the same problems repeatedly:</w:t>
      </w:r>
    </w:p>
    <w:p>
      <w:pPr>
        <w:pStyle w:val="ListParagraph"/>
        <w:numPr>
          <w:ilvl w:val="0"/>
          <w:numId w:val="2"/>
        </w:numPr>
        <w:spacing w:after="100" w:line="290"/>
      </w:pPr>
      <w:r>
        <w:rPr>
          <w:color w:val="1A1A1A"/>
          <w:sz w:val="22"/>
          <w:szCs w:val="22"/>
        </w:rPr>
        <w:t xml:space="preserve">Formatting and reusing prompts consistently across an application.</w:t>
      </w:r>
    </w:p>
    <w:p>
      <w:pPr>
        <w:pStyle w:val="ListParagraph"/>
        <w:numPr>
          <w:ilvl w:val="0"/>
          <w:numId w:val="2"/>
        </w:numPr>
        <w:spacing w:after="100" w:line="290"/>
      </w:pPr>
      <w:r>
        <w:rPr>
          <w:color w:val="1A1A1A"/>
          <w:sz w:val="22"/>
          <w:szCs w:val="22"/>
        </w:rPr>
        <w:t xml:space="preserve">Chaining multiple LLM calls together, where one call's output feeds the next.</w:t>
      </w:r>
    </w:p>
    <w:p>
      <w:pPr>
        <w:pStyle w:val="ListParagraph"/>
        <w:numPr>
          <w:ilvl w:val="0"/>
          <w:numId w:val="2"/>
        </w:numPr>
        <w:spacing w:after="100" w:line="290"/>
      </w:pPr>
      <w:r>
        <w:rPr>
          <w:color w:val="1A1A1A"/>
          <w:sz w:val="22"/>
          <w:szCs w:val="22"/>
        </w:rPr>
        <w:t xml:space="preserve">Giving the model access to private or current data it wasn't trained on (RAG).</w:t>
      </w:r>
    </w:p>
    <w:p>
      <w:pPr>
        <w:pStyle w:val="ListParagraph"/>
        <w:numPr>
          <w:ilvl w:val="0"/>
          <w:numId w:val="2"/>
        </w:numPr>
        <w:spacing w:after="100" w:line="290"/>
      </w:pPr>
      <w:r>
        <w:rPr>
          <w:color w:val="1A1A1A"/>
          <w:sz w:val="22"/>
          <w:szCs w:val="22"/>
        </w:rPr>
        <w:t xml:space="preserve">Letting the model call external tools or APIs to take real actions.</w:t>
      </w:r>
    </w:p>
    <w:p>
      <w:pPr>
        <w:pStyle w:val="ListParagraph"/>
        <w:numPr>
          <w:ilvl w:val="0"/>
          <w:numId w:val="2"/>
        </w:numPr>
        <w:spacing w:after="100" w:line="290"/>
      </w:pPr>
      <w:r>
        <w:rPr>
          <w:color w:val="1A1A1A"/>
          <w:sz w:val="22"/>
          <w:szCs w:val="22"/>
        </w:rPr>
        <w:t xml:space="preserve">Maintaining conversational memory across multiple turns.</w:t>
      </w:r>
    </w:p>
    <w:p>
      <w:pPr>
        <w:spacing w:after="160" w:line="300"/>
      </w:pPr>
      <w:r>
        <w:rPr>
          <w:color w:val="1A1A1A"/>
          <w:sz w:val="22"/>
          <w:szCs w:val="22"/>
        </w:rPr>
        <w:t xml:space="preserve">LangChain standardizes these patterns so teams don't rebuild them from scratch for every project.</w:t>
      </w:r>
    </w:p>
    <w:p>
      <w:pPr>
        <w:pStyle w:val="Heading1"/>
        <w:spacing w:after="160" w:before="360"/>
      </w:pPr>
      <w:r>
        <w:t xml:space="preserve">3. Core Components</w:t>
      </w:r>
    </w:p>
    <w:p>
      <w:pPr>
        <w:spacing w:after="160" w:line="300"/>
      </w:pPr>
      <w:r>
        <w:rPr>
          <w:color w:val="1A1A1A"/>
          <w:sz w:val="22"/>
          <w:szCs w:val="22"/>
        </w:rPr>
        <w:t xml:space="preserve">These are the building blocks referenced throughout LangChain's documentation and course material:</w:t>
      </w:r>
    </w:p>
    <w:p>
      <w:pPr>
        <w:spacing w:after="80"/>
      </w:pPr>
    </w:p>
    <w:tbl>
      <w:tblPr>
        <w:tblW w:type="dxa" w:w="958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980"/>
      </w:tblGrid>
      <w:tr>
        <w:trPr>
          <w:tblHeader/>
        </w:trPr>
        <w:tc>
          <w:tcPr>
            <w:tcW w:type="dxa" w:w="2600"/>
            <w:shd w:fill="2E5B8A" w:color="auto" w:val="clear"/>
            <w:tcMar>
              <w:top w:type="dxa" w:w="100"/>
              <w:left w:type="dxa" w:w="120"/>
              <w:bottom w:type="dxa" w:w="100"/>
              <w:right w:type="dxa" w:w="120"/>
            </w:tcMar>
          </w:tcPr>
          <w:p>
            <w:r>
              <w:rPr>
                <w:b/>
                <w:bCs/>
                <w:color w:val="FFFFFF"/>
                <w:sz w:val="21"/>
                <w:szCs w:val="21"/>
              </w:rPr>
              <w:t xml:space="preserve">Component</w:t>
            </w:r>
          </w:p>
        </w:tc>
        <w:tc>
          <w:tcPr>
            <w:tcW w:type="dxa" w:w="6980"/>
            <w:shd w:fill="2E5B8A" w:color="auto" w:val="clear"/>
            <w:tcMar>
              <w:top w:type="dxa" w:w="100"/>
              <w:left w:type="dxa" w:w="120"/>
              <w:bottom w:type="dxa" w:w="100"/>
              <w:right w:type="dxa" w:w="120"/>
            </w:tcMar>
          </w:tcPr>
          <w:p>
            <w:r>
              <w:rPr>
                <w:b/>
                <w:bCs/>
                <w:color w:val="FFFFFF"/>
                <w:sz w:val="21"/>
                <w:szCs w:val="21"/>
              </w:rPr>
              <w:t xml:space="preserve">What it does</w:t>
            </w:r>
          </w:p>
        </w:tc>
      </w:tr>
      <w:tr>
        <w:tc>
          <w:tcPr>
            <w:tcW w:type="dxa" w:w="2600"/>
            <w:shd w:fill="FFFFFF" w:color="auto" w:val="clear"/>
            <w:tcMar>
              <w:top w:type="dxa" w:w="100"/>
              <w:left w:type="dxa" w:w="120"/>
              <w:bottom w:type="dxa" w:w="100"/>
              <w:right w:type="dxa" w:w="120"/>
            </w:tcMar>
          </w:tcPr>
          <w:p>
            <w:r>
              <w:rPr>
                <w:b/>
                <w:bCs/>
                <w:color w:val="1A1A1A"/>
                <w:sz w:val="20"/>
                <w:szCs w:val="20"/>
              </w:rPr>
              <w:t xml:space="preserve">Models</w:t>
            </w:r>
          </w:p>
        </w:tc>
        <w:tc>
          <w:tcPr>
            <w:tcW w:type="dxa" w:w="6980"/>
            <w:shd w:fill="FFFFFF" w:color="auto" w:val="clear"/>
            <w:tcMar>
              <w:top w:type="dxa" w:w="100"/>
              <w:left w:type="dxa" w:w="120"/>
              <w:bottom w:type="dxa" w:w="100"/>
              <w:right w:type="dxa" w:w="120"/>
            </w:tcMar>
          </w:tcPr>
          <w:p>
            <w:r>
              <w:rPr>
                <w:color w:val="1A1A1A"/>
                <w:sz w:val="20"/>
                <w:szCs w:val="20"/>
              </w:rPr>
              <w:t xml:space="preserve">Wrappers around LLMs (chat models) and embedding models, giving a consistent interface regardless of provider.</w:t>
            </w:r>
          </w:p>
        </w:tc>
      </w:tr>
      <w:tr>
        <w:tc>
          <w:tcPr>
            <w:tcW w:type="dxa" w:w="2600"/>
            <w:shd w:fill="F7F9FC" w:color="auto" w:val="clear"/>
            <w:tcMar>
              <w:top w:type="dxa" w:w="100"/>
              <w:left w:type="dxa" w:w="120"/>
              <w:bottom w:type="dxa" w:w="100"/>
              <w:right w:type="dxa" w:w="120"/>
            </w:tcMar>
          </w:tcPr>
          <w:p>
            <w:r>
              <w:rPr>
                <w:b/>
                <w:bCs/>
                <w:color w:val="1A1A1A"/>
                <w:sz w:val="20"/>
                <w:szCs w:val="20"/>
              </w:rPr>
              <w:t xml:space="preserve">Prompts / Prompt Templates</w:t>
            </w:r>
          </w:p>
        </w:tc>
        <w:tc>
          <w:tcPr>
            <w:tcW w:type="dxa" w:w="6980"/>
            <w:shd w:fill="F7F9FC" w:color="auto" w:val="clear"/>
            <w:tcMar>
              <w:top w:type="dxa" w:w="100"/>
              <w:left w:type="dxa" w:w="120"/>
              <w:bottom w:type="dxa" w:w="100"/>
              <w:right w:type="dxa" w:w="120"/>
            </w:tcMar>
          </w:tcPr>
          <w:p>
            <w:r>
              <w:rPr>
                <w:color w:val="1A1A1A"/>
                <w:sz w:val="20"/>
                <w:szCs w:val="20"/>
              </w:rPr>
              <w:t xml:space="preserve">Reusable, parameterized text templates that structure what is sent to the model.</w:t>
            </w:r>
          </w:p>
        </w:tc>
      </w:tr>
      <w:tr>
        <w:tc>
          <w:tcPr>
            <w:tcW w:type="dxa" w:w="2600"/>
            <w:shd w:fill="FFFFFF" w:color="auto" w:val="clear"/>
            <w:tcMar>
              <w:top w:type="dxa" w:w="100"/>
              <w:left w:type="dxa" w:w="120"/>
              <w:bottom w:type="dxa" w:w="100"/>
              <w:right w:type="dxa" w:w="120"/>
            </w:tcMar>
          </w:tcPr>
          <w:p>
            <w:r>
              <w:rPr>
                <w:b/>
                <w:bCs/>
                <w:color w:val="1A1A1A"/>
                <w:sz w:val="20"/>
                <w:szCs w:val="20"/>
              </w:rPr>
              <w:t xml:space="preserve">Chains</w:t>
            </w:r>
          </w:p>
        </w:tc>
        <w:tc>
          <w:tcPr>
            <w:tcW w:type="dxa" w:w="6980"/>
            <w:shd w:fill="FFFFFF" w:color="auto" w:val="clear"/>
            <w:tcMar>
              <w:top w:type="dxa" w:w="100"/>
              <w:left w:type="dxa" w:w="120"/>
              <w:bottom w:type="dxa" w:w="100"/>
              <w:right w:type="dxa" w:w="120"/>
            </w:tcMar>
          </w:tcPr>
          <w:p>
            <w:r>
              <w:rPr>
                <w:color w:val="1A1A1A"/>
                <w:sz w:val="20"/>
                <w:szCs w:val="20"/>
              </w:rPr>
              <w:t xml:space="preserve">Sequences of calls (LLM calls, tool calls, or other chains) linked together to accomplish a multi-step task.</w:t>
            </w:r>
          </w:p>
        </w:tc>
      </w:tr>
      <w:tr>
        <w:tc>
          <w:tcPr>
            <w:tcW w:type="dxa" w:w="2600"/>
            <w:shd w:fill="F7F9FC" w:color="auto" w:val="clear"/>
            <w:tcMar>
              <w:top w:type="dxa" w:w="100"/>
              <w:left w:type="dxa" w:w="120"/>
              <w:bottom w:type="dxa" w:w="100"/>
              <w:right w:type="dxa" w:w="120"/>
            </w:tcMar>
          </w:tcPr>
          <w:p>
            <w:r>
              <w:rPr>
                <w:b/>
                <w:bCs/>
                <w:color w:val="1A1A1A"/>
                <w:sz w:val="20"/>
                <w:szCs w:val="20"/>
              </w:rPr>
              <w:t xml:space="preserve">Memory</w:t>
            </w:r>
          </w:p>
        </w:tc>
        <w:tc>
          <w:tcPr>
            <w:tcW w:type="dxa" w:w="6980"/>
            <w:shd w:fill="F7F9FC" w:color="auto" w:val="clear"/>
            <w:tcMar>
              <w:top w:type="dxa" w:w="100"/>
              <w:left w:type="dxa" w:w="120"/>
              <w:bottom w:type="dxa" w:w="100"/>
              <w:right w:type="dxa" w:w="120"/>
            </w:tcMar>
          </w:tcPr>
          <w:p>
            <w:r>
              <w:rPr>
                <w:color w:val="1A1A1A"/>
                <w:sz w:val="20"/>
                <w:szCs w:val="20"/>
              </w:rPr>
              <w:t xml:space="preserve">Mechanisms to persist conversation history or state across multiple interactions.</w:t>
            </w:r>
          </w:p>
        </w:tc>
      </w:tr>
      <w:tr>
        <w:tc>
          <w:tcPr>
            <w:tcW w:type="dxa" w:w="2600"/>
            <w:shd w:fill="FFFFFF" w:color="auto" w:val="clear"/>
            <w:tcMar>
              <w:top w:type="dxa" w:w="100"/>
              <w:left w:type="dxa" w:w="120"/>
              <w:bottom w:type="dxa" w:w="100"/>
              <w:right w:type="dxa" w:w="120"/>
            </w:tcMar>
          </w:tcPr>
          <w:p>
            <w:r>
              <w:rPr>
                <w:b/>
                <w:bCs/>
                <w:color w:val="1A1A1A"/>
                <w:sz w:val="20"/>
                <w:szCs w:val="20"/>
              </w:rPr>
              <w:t xml:space="preserve">Agents</w:t>
            </w:r>
          </w:p>
        </w:tc>
        <w:tc>
          <w:tcPr>
            <w:tcW w:type="dxa" w:w="6980"/>
            <w:shd w:fill="FFFFFF" w:color="auto" w:val="clear"/>
            <w:tcMar>
              <w:top w:type="dxa" w:w="100"/>
              <w:left w:type="dxa" w:w="120"/>
              <w:bottom w:type="dxa" w:w="100"/>
              <w:right w:type="dxa" w:w="120"/>
            </w:tcMar>
          </w:tcPr>
          <w:p>
            <w:r>
              <w:rPr>
                <w:color w:val="1A1A1A"/>
                <w:sz w:val="20"/>
                <w:szCs w:val="20"/>
              </w:rPr>
              <w:t xml:space="preserve">Components where the LLM decides, at runtime, which tool or action to invoke next, based on the user's goal.</w:t>
            </w:r>
          </w:p>
        </w:tc>
      </w:tr>
      <w:tr>
        <w:tc>
          <w:tcPr>
            <w:tcW w:type="dxa" w:w="2600"/>
            <w:shd w:fill="F7F9FC" w:color="auto" w:val="clear"/>
            <w:tcMar>
              <w:top w:type="dxa" w:w="100"/>
              <w:left w:type="dxa" w:w="120"/>
              <w:bottom w:type="dxa" w:w="100"/>
              <w:right w:type="dxa" w:w="120"/>
            </w:tcMar>
          </w:tcPr>
          <w:p>
            <w:r>
              <w:rPr>
                <w:b/>
                <w:bCs/>
                <w:color w:val="1A1A1A"/>
                <w:sz w:val="20"/>
                <w:szCs w:val="20"/>
              </w:rPr>
              <w:t xml:space="preserve">Tools</w:t>
            </w:r>
          </w:p>
        </w:tc>
        <w:tc>
          <w:tcPr>
            <w:tcW w:type="dxa" w:w="6980"/>
            <w:shd w:fill="F7F9FC" w:color="auto" w:val="clear"/>
            <w:tcMar>
              <w:top w:type="dxa" w:w="100"/>
              <w:left w:type="dxa" w:w="120"/>
              <w:bottom w:type="dxa" w:w="100"/>
              <w:right w:type="dxa" w:w="120"/>
            </w:tcMar>
          </w:tcPr>
          <w:p>
            <w:r>
              <w:rPr>
                <w:color w:val="1A1A1A"/>
                <w:sz w:val="20"/>
                <w:szCs w:val="20"/>
              </w:rPr>
              <w:t xml:space="preserve">Functions or APIs (search, calculators, databases, custom code) that an agent or chain can call.</w:t>
            </w:r>
          </w:p>
        </w:tc>
      </w:tr>
      <w:tr>
        <w:tc>
          <w:tcPr>
            <w:tcW w:type="dxa" w:w="2600"/>
            <w:shd w:fill="FFFFFF" w:color="auto" w:val="clear"/>
            <w:tcMar>
              <w:top w:type="dxa" w:w="100"/>
              <w:left w:type="dxa" w:w="120"/>
              <w:bottom w:type="dxa" w:w="100"/>
              <w:right w:type="dxa" w:w="120"/>
            </w:tcMar>
          </w:tcPr>
          <w:p>
            <w:r>
              <w:rPr>
                <w:b/>
                <w:bCs/>
                <w:color w:val="1A1A1A"/>
                <w:sz w:val="20"/>
                <w:szCs w:val="20"/>
              </w:rPr>
              <w:t xml:space="preserve">Retrievers / RAG</w:t>
            </w:r>
          </w:p>
        </w:tc>
        <w:tc>
          <w:tcPr>
            <w:tcW w:type="dxa" w:w="6980"/>
            <w:shd w:fill="FFFFFF" w:color="auto" w:val="clear"/>
            <w:tcMar>
              <w:top w:type="dxa" w:w="100"/>
              <w:left w:type="dxa" w:w="120"/>
              <w:bottom w:type="dxa" w:w="100"/>
              <w:right w:type="dxa" w:w="120"/>
            </w:tcMar>
          </w:tcPr>
          <w:p>
            <w:r>
              <w:rPr>
                <w:color w:val="1A1A1A"/>
                <w:sz w:val="20"/>
                <w:szCs w:val="20"/>
              </w:rPr>
              <w:t xml:space="preserve">Components that fetch relevant external documents (often from a vector store) to ground the model's answer in real data.</w:t>
            </w:r>
          </w:p>
        </w:tc>
      </w:tr>
      <w:tr>
        <w:tc>
          <w:tcPr>
            <w:tcW w:type="dxa" w:w="2600"/>
            <w:shd w:fill="F7F9FC" w:color="auto" w:val="clear"/>
            <w:tcMar>
              <w:top w:type="dxa" w:w="100"/>
              <w:left w:type="dxa" w:w="120"/>
              <w:bottom w:type="dxa" w:w="100"/>
              <w:right w:type="dxa" w:w="120"/>
            </w:tcMar>
          </w:tcPr>
          <w:p>
            <w:r>
              <w:rPr>
                <w:b/>
                <w:bCs/>
                <w:color w:val="1A1A1A"/>
                <w:sz w:val="20"/>
                <w:szCs w:val="20"/>
              </w:rPr>
              <w:t xml:space="preserve">Document Loaders &amp; Splitters</w:t>
            </w:r>
          </w:p>
        </w:tc>
        <w:tc>
          <w:tcPr>
            <w:tcW w:type="dxa" w:w="6980"/>
            <w:shd w:fill="F7F9FC" w:color="auto" w:val="clear"/>
            <w:tcMar>
              <w:top w:type="dxa" w:w="100"/>
              <w:left w:type="dxa" w:w="120"/>
              <w:bottom w:type="dxa" w:w="100"/>
              <w:right w:type="dxa" w:w="120"/>
            </w:tcMar>
          </w:tcPr>
          <w:p>
            <w:r>
              <w:rPr>
                <w:color w:val="1A1A1A"/>
                <w:sz w:val="20"/>
                <w:szCs w:val="20"/>
              </w:rPr>
              <w:t xml:space="preserve">Utilities to load data from files, websites, or databases and break it into chunks suitable for embedding.</w:t>
            </w:r>
          </w:p>
        </w:tc>
      </w:tr>
      <w:tr>
        <w:tc>
          <w:tcPr>
            <w:tcW w:type="dxa" w:w="2600"/>
            <w:shd w:fill="FFFFFF" w:color="auto" w:val="clear"/>
            <w:tcMar>
              <w:top w:type="dxa" w:w="100"/>
              <w:left w:type="dxa" w:w="120"/>
              <w:bottom w:type="dxa" w:w="100"/>
              <w:right w:type="dxa" w:w="120"/>
            </w:tcMar>
          </w:tcPr>
          <w:p>
            <w:r>
              <w:rPr>
                <w:b/>
                <w:bCs/>
                <w:color w:val="1A1A1A"/>
                <w:sz w:val="20"/>
                <w:szCs w:val="20"/>
              </w:rPr>
              <w:t xml:space="preserve">LangChain Expression Language (LCEL)</w:t>
            </w:r>
          </w:p>
        </w:tc>
        <w:tc>
          <w:tcPr>
            <w:tcW w:type="dxa" w:w="6980"/>
            <w:shd w:fill="FFFFFF" w:color="auto" w:val="clear"/>
            <w:tcMar>
              <w:top w:type="dxa" w:w="100"/>
              <w:left w:type="dxa" w:w="120"/>
              <w:bottom w:type="dxa" w:w="100"/>
              <w:right w:type="dxa" w:w="120"/>
            </w:tcMar>
          </w:tcPr>
          <w:p>
            <w:r>
              <w:rPr>
                <w:color w:val="1A1A1A"/>
                <w:sz w:val="20"/>
                <w:szCs w:val="20"/>
              </w:rPr>
              <w:t xml:space="preserve">A declarative syntax (using the pipe operator) for composing chains in a readable, streamable, and parallelizable way.</w:t>
            </w:r>
          </w:p>
        </w:tc>
      </w:tr>
      <w:tr>
        <w:tc>
          <w:tcPr>
            <w:tcW w:type="dxa" w:w="2600"/>
            <w:shd w:fill="F7F9FC" w:color="auto" w:val="clear"/>
            <w:tcMar>
              <w:top w:type="dxa" w:w="100"/>
              <w:left w:type="dxa" w:w="120"/>
              <w:bottom w:type="dxa" w:w="100"/>
              <w:right w:type="dxa" w:w="120"/>
            </w:tcMar>
          </w:tcPr>
          <w:p>
            <w:r>
              <w:rPr>
                <w:b/>
                <w:bCs/>
                <w:color w:val="1A1A1A"/>
                <w:sz w:val="20"/>
                <w:szCs w:val="20"/>
              </w:rPr>
              <w:t xml:space="preserve">LangGraph</w:t>
            </w:r>
          </w:p>
        </w:tc>
        <w:tc>
          <w:tcPr>
            <w:tcW w:type="dxa" w:w="6980"/>
            <w:shd w:fill="F7F9FC" w:color="auto" w:val="clear"/>
            <w:tcMar>
              <w:top w:type="dxa" w:w="100"/>
              <w:left w:type="dxa" w:w="120"/>
              <w:bottom w:type="dxa" w:w="100"/>
              <w:right w:type="dxa" w:w="120"/>
            </w:tcMar>
          </w:tcPr>
          <w:p>
            <w:r>
              <w:rPr>
                <w:color w:val="1A1A1A"/>
                <w:sz w:val="20"/>
                <w:szCs w:val="20"/>
              </w:rPr>
              <w:t xml:space="preserve">An extension for building stateful, multi-actor agent workflows as graphs — used for more controllable, complex agent logic.</w:t>
            </w:r>
          </w:p>
        </w:tc>
      </w:tr>
    </w:tbl>
    <w:p>
      <w:pPr>
        <w:spacing w:after="160"/>
      </w:pPr>
    </w:p>
    <w:p>
      <w:pPr>
        <w:pStyle w:val="Heading1"/>
        <w:spacing w:after="160" w:before="360"/>
      </w:pPr>
      <w:r>
        <w:t xml:space="preserve">4. How a Typical Flow Works (RAG Example)</w:t>
      </w:r>
    </w:p>
    <w:p>
      <w:pPr>
        <w:spacing w:after="160" w:line="300"/>
      </w:pPr>
      <w:r>
        <w:rPr>
          <w:color w:val="1A1A1A"/>
          <w:sz w:val="22"/>
          <w:szCs w:val="22"/>
        </w:rPr>
        <w:t xml:space="preserve">Retrieval-Augmented Generation (RAG) is one of the most common LangChain patterns. The flow looks like this:</w:t>
      </w:r>
    </w:p>
    <w:p>
      <w:pPr>
        <w:pStyle w:val="ListParagraph"/>
        <w:numPr>
          <w:ilvl w:val="0"/>
          <w:numId w:val="2"/>
        </w:numPr>
        <w:spacing w:after="100" w:line="290"/>
      </w:pPr>
      <w:r>
        <w:rPr>
          <w:b/>
          <w:bCs/>
          <w:color w:val="1A1A1A"/>
          <w:sz w:val="22"/>
          <w:szCs w:val="22"/>
        </w:rPr>
        <w:t xml:space="preserve">Step 1 — Load: </w:t>
      </w:r>
      <w:r>
        <w:rPr>
          <w:color w:val="1A1A1A"/>
          <w:sz w:val="22"/>
          <w:szCs w:val="22"/>
        </w:rPr>
        <w:t xml:space="preserve">Documents (PDFs, web pages, databases) are loaded using a Document Loader.</w:t>
      </w:r>
    </w:p>
    <w:p>
      <w:pPr>
        <w:pStyle w:val="ListParagraph"/>
        <w:numPr>
          <w:ilvl w:val="0"/>
          <w:numId w:val="2"/>
        </w:numPr>
        <w:spacing w:after="100" w:line="290"/>
      </w:pPr>
      <w:r>
        <w:rPr>
          <w:b/>
          <w:bCs/>
          <w:color w:val="1A1A1A"/>
          <w:sz w:val="22"/>
          <w:szCs w:val="22"/>
        </w:rPr>
        <w:t xml:space="preserve">Step 2 — Split: </w:t>
      </w:r>
      <w:r>
        <w:rPr>
          <w:color w:val="1A1A1A"/>
          <w:sz w:val="22"/>
          <w:szCs w:val="22"/>
        </w:rPr>
        <w:t xml:space="preserve">Long documents are split into smaller chunks so they fit within context limits.</w:t>
      </w:r>
    </w:p>
    <w:p>
      <w:pPr>
        <w:pStyle w:val="ListParagraph"/>
        <w:numPr>
          <w:ilvl w:val="0"/>
          <w:numId w:val="2"/>
        </w:numPr>
        <w:spacing w:after="100" w:line="290"/>
      </w:pPr>
      <w:r>
        <w:rPr>
          <w:b/>
          <w:bCs/>
          <w:color w:val="1A1A1A"/>
          <w:sz w:val="22"/>
          <w:szCs w:val="22"/>
        </w:rPr>
        <w:t xml:space="preserve">Step 3 — Embed &amp; Store: </w:t>
      </w:r>
      <w:r>
        <w:rPr>
          <w:color w:val="1A1A1A"/>
          <w:sz w:val="22"/>
          <w:szCs w:val="22"/>
        </w:rPr>
        <w:t xml:space="preserve">Each chunk is converted into a vector embedding and stored in a vector database (e.g. Chroma, FAISS, Pinecone).</w:t>
      </w:r>
    </w:p>
    <w:p>
      <w:pPr>
        <w:pStyle w:val="ListParagraph"/>
        <w:numPr>
          <w:ilvl w:val="0"/>
          <w:numId w:val="2"/>
        </w:numPr>
        <w:spacing w:after="100" w:line="290"/>
      </w:pPr>
      <w:r>
        <w:rPr>
          <w:b/>
          <w:bCs/>
          <w:color w:val="1A1A1A"/>
          <w:sz w:val="22"/>
          <w:szCs w:val="22"/>
        </w:rPr>
        <w:t xml:space="preserve">Step 4 — Retrieve: </w:t>
      </w:r>
      <w:r>
        <w:rPr>
          <w:color w:val="1A1A1A"/>
          <w:sz w:val="22"/>
          <w:szCs w:val="22"/>
        </w:rPr>
        <w:t xml:space="preserve">When a user asks a question, the most relevant chunks are retrieved by similarity search.</w:t>
      </w:r>
    </w:p>
    <w:p>
      <w:pPr>
        <w:pStyle w:val="ListParagraph"/>
        <w:numPr>
          <w:ilvl w:val="0"/>
          <w:numId w:val="2"/>
        </w:numPr>
        <w:spacing w:after="100" w:line="290"/>
      </w:pPr>
      <w:r>
        <w:rPr>
          <w:b/>
          <w:bCs/>
          <w:color w:val="1A1A1A"/>
          <w:sz w:val="22"/>
          <w:szCs w:val="22"/>
        </w:rPr>
        <w:t xml:space="preserve">Step 5 — Generate: </w:t>
      </w:r>
      <w:r>
        <w:rPr>
          <w:color w:val="1A1A1A"/>
          <w:sz w:val="22"/>
          <w:szCs w:val="22"/>
        </w:rPr>
        <w:t xml:space="preserve">The retrieved chunks plus the user's question are passed to the LLM, which generates a grounded answer.</w:t>
      </w:r>
    </w:p>
    <w:p>
      <w:pPr>
        <w:spacing w:after="80"/>
      </w:pPr>
    </w:p>
    <w:p>
      <w:pPr>
        <w:pStyle w:val="Heading1"/>
        <w:spacing w:after="160" w:before="360"/>
      </w:pPr>
      <w:r>
        <w:t xml:space="preserve">5. Minimal Code Illustration</w:t>
      </w:r>
    </w:p>
    <w:p>
      <w:pPr>
        <w:spacing w:after="160" w:line="300"/>
      </w:pPr>
      <w:r>
        <w:rPr>
          <w:color w:val="1A1A1A"/>
          <w:sz w:val="22"/>
          <w:szCs w:val="22"/>
        </w:rPr>
        <w:t xml:space="preserve">A simple LCEL chain that combines a prompt, a model, and an output parser:</w:t>
      </w:r>
    </w:p>
    <w:p>
      <w:pPr>
        <w:spacing w:after="6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60"/>
              <w:left w:type="dxa" w:w="220"/>
              <w:bottom w:type="dxa" w:w="160"/>
              <w:right w:type="dxa" w:w="220"/>
            </w:tcMar>
          </w:tcPr>
          <w:p>
            <w:pPr>
              <w:spacing w:after="20"/>
            </w:pPr>
            <w:r>
              <w:rPr>
                <w:rFonts w:ascii="Consolas" w:cs="Consolas" w:eastAsia="Consolas" w:hAnsi="Consolas"/>
                <w:color w:val="202020"/>
                <w:sz w:val="20"/>
                <w:szCs w:val="20"/>
              </w:rPr>
              <w:t xml:space="preserve">from langchain_core.prompts import ChatPromptTemplate</w:t>
            </w:r>
          </w:p>
          <w:p>
            <w:pPr>
              <w:spacing w:after="20"/>
            </w:pPr>
            <w:r>
              <w:rPr>
                <w:rFonts w:ascii="Consolas" w:cs="Consolas" w:eastAsia="Consolas" w:hAnsi="Consolas"/>
                <w:color w:val="202020"/>
                <w:sz w:val="20"/>
                <w:szCs w:val="20"/>
              </w:rPr>
              <w:t xml:space="preserve">from langchain_core.output_parsers import StrOutputParser</w:t>
            </w:r>
          </w:p>
          <w:p>
            <w:pPr>
              <w:spacing w:after="20"/>
            </w:pPr>
            <w:r>
              <w:rPr>
                <w:rFonts w:ascii="Consolas" w:cs="Consolas" w:eastAsia="Consolas" w:hAnsi="Consolas"/>
                <w:color w:val="202020"/>
                <w:sz w:val="20"/>
                <w:szCs w:val="20"/>
              </w:rPr>
              <w:t xml:space="preserve">from langchain_anthropic import ChatAnthropic</w:t>
            </w:r>
          </w:p>
          <w:p>
            <w:pPr>
              <w:spacing w:after="20"/>
            </w:pPr>
            <w:r>
              <w:rPr>
                <w:rFonts w:ascii="Consolas" w:cs="Consolas" w:eastAsia="Consolas" w:hAnsi="Consolas"/>
                <w:color w:val="202020"/>
                <w:sz w:val="20"/>
                <w:szCs w:val="20"/>
              </w:rPr>
              <w:t xml:space="preserve"/>
            </w:r>
          </w:p>
          <w:p>
            <w:pPr>
              <w:spacing w:after="20"/>
            </w:pPr>
            <w:r>
              <w:rPr>
                <w:rFonts w:ascii="Consolas" w:cs="Consolas" w:eastAsia="Consolas" w:hAnsi="Consolas"/>
                <w:color w:val="202020"/>
                <w:sz w:val="20"/>
                <w:szCs w:val="20"/>
              </w:rPr>
              <w:t xml:space="preserve">prompt = ChatPromptTemplate.from_template(</w:t>
            </w:r>
          </w:p>
          <w:p>
            <w:pPr>
              <w:spacing w:after="20"/>
            </w:pPr>
            <w:r>
              <w:rPr>
                <w:rFonts w:ascii="Consolas" w:cs="Consolas" w:eastAsia="Consolas" w:hAnsi="Consolas"/>
                <w:color w:val="202020"/>
                <w:sz w:val="20"/>
                <w:szCs w:val="20"/>
              </w:rPr>
              <w:t xml:space="preserve">    "Explain {topic} in two sentences for a beginner."</w:t>
            </w:r>
          </w:p>
          <w:p>
            <w:pPr>
              <w:spacing w:after="20"/>
            </w:pPr>
            <w:r>
              <w:rPr>
                <w:rFonts w:ascii="Consolas" w:cs="Consolas" w:eastAsia="Consolas" w:hAnsi="Consolas"/>
                <w:color w:val="202020"/>
                <w:sz w:val="20"/>
                <w:szCs w:val="20"/>
              </w:rPr>
              <w:t xml:space="preserve">)</w:t>
            </w:r>
          </w:p>
          <w:p>
            <w:pPr>
              <w:spacing w:after="20"/>
            </w:pPr>
            <w:r>
              <w:rPr>
                <w:rFonts w:ascii="Consolas" w:cs="Consolas" w:eastAsia="Consolas" w:hAnsi="Consolas"/>
                <w:color w:val="202020"/>
                <w:sz w:val="20"/>
                <w:szCs w:val="20"/>
              </w:rPr>
              <w:t xml:space="preserve">model = ChatAnthropic(model="claude-sonnet-5")</w:t>
            </w:r>
          </w:p>
          <w:p>
            <w:pPr>
              <w:spacing w:after="20"/>
            </w:pPr>
            <w:r>
              <w:rPr>
                <w:rFonts w:ascii="Consolas" w:cs="Consolas" w:eastAsia="Consolas" w:hAnsi="Consolas"/>
                <w:color w:val="202020"/>
                <w:sz w:val="20"/>
                <w:szCs w:val="20"/>
              </w:rPr>
              <w:t xml:space="preserve">parser = StrOutputParser()</w:t>
            </w:r>
          </w:p>
          <w:p>
            <w:pPr>
              <w:spacing w:after="20"/>
            </w:pPr>
            <w:r>
              <w:rPr>
                <w:rFonts w:ascii="Consolas" w:cs="Consolas" w:eastAsia="Consolas" w:hAnsi="Consolas"/>
                <w:color w:val="202020"/>
                <w:sz w:val="20"/>
                <w:szCs w:val="20"/>
              </w:rPr>
              <w:t xml:space="preserve"/>
            </w:r>
          </w:p>
          <w:p>
            <w:pPr>
              <w:spacing w:after="20"/>
            </w:pPr>
            <w:r>
              <w:rPr>
                <w:rFonts w:ascii="Consolas" w:cs="Consolas" w:eastAsia="Consolas" w:hAnsi="Consolas"/>
                <w:color w:val="202020"/>
                <w:sz w:val="20"/>
                <w:szCs w:val="20"/>
              </w:rPr>
              <w:t xml:space="preserve">chain = prompt | model | parser</w:t>
            </w:r>
          </w:p>
          <w:p>
            <w:pPr>
              <w:spacing w:after="20"/>
            </w:pPr>
            <w:r>
              <w:rPr>
                <w:rFonts w:ascii="Consolas" w:cs="Consolas" w:eastAsia="Consolas" w:hAnsi="Consolas"/>
                <w:color w:val="202020"/>
                <w:sz w:val="20"/>
                <w:szCs w:val="20"/>
              </w:rPr>
              <w:t xml:space="preserve"/>
            </w:r>
          </w:p>
          <w:p>
            <w:pPr>
              <w:spacing w:after="20"/>
            </w:pPr>
            <w:r>
              <w:rPr>
                <w:rFonts w:ascii="Consolas" w:cs="Consolas" w:eastAsia="Consolas" w:hAnsi="Consolas"/>
                <w:color w:val="202020"/>
                <w:sz w:val="20"/>
                <w:szCs w:val="20"/>
              </w:rPr>
              <w:t xml:space="preserve">result = chain.invoke({"topic": "vector embeddings"})</w:t>
            </w:r>
          </w:p>
          <w:p>
            <w:pPr>
              <w:spacing w:after="20"/>
            </w:pPr>
            <w:r>
              <w:rPr>
                <w:rFonts w:ascii="Consolas" w:cs="Consolas" w:eastAsia="Consolas" w:hAnsi="Consolas"/>
                <w:color w:val="202020"/>
                <w:sz w:val="20"/>
                <w:szCs w:val="20"/>
              </w:rPr>
              <w:t xml:space="preserve">print(result)</w:t>
            </w:r>
          </w:p>
        </w:tc>
      </w:tr>
    </w:tbl>
    <w:p>
      <w:pPr>
        <w:spacing w:after="120"/>
      </w:pPr>
    </w:p>
    <w:p>
      <w:pPr>
        <w:spacing w:after="160" w:line="300"/>
      </w:pPr>
      <w:r>
        <w:rPr>
          <w:color w:val="1A1A1A"/>
          <w:sz w:val="22"/>
          <w:szCs w:val="22"/>
        </w:rPr>
        <w:t xml:space="preserve">The pipe operator (|) is LCEL syntax: it connects the prompt template's output directly into the model, and the model's output into the parser — forming a single runnable chain.</w:t>
      </w:r>
    </w:p>
    <w:p>
      <w:pPr>
        <w:pStyle w:val="Heading1"/>
        <w:spacing w:after="160" w:before="360"/>
      </w:pPr>
      <w:r>
        <w:t xml:space="preserve">6. Agents vs. Chains</w:t>
      </w:r>
    </w:p>
    <w:p>
      <w:pPr>
        <w:spacing w:after="60"/>
      </w:pPr>
    </w:p>
    <w:tbl>
      <w:tblPr>
        <w:tblW w:type="dxa" w:w="958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980"/>
      </w:tblGrid>
      <w:tr>
        <w:trPr>
          <w:tblHeader/>
        </w:trPr>
        <w:tc>
          <w:tcPr>
            <w:tcW w:type="dxa" w:w="2600"/>
            <w:shd w:fill="2E5B8A" w:color="auto" w:val="clear"/>
            <w:tcMar>
              <w:top w:type="dxa" w:w="100"/>
              <w:left w:type="dxa" w:w="120"/>
              <w:bottom w:type="dxa" w:w="100"/>
              <w:right w:type="dxa" w:w="120"/>
            </w:tcMar>
          </w:tcPr>
          <w:p>
            <w:r>
              <w:rPr>
                <w:b/>
                <w:bCs/>
                <w:color w:val="FFFFFF"/>
                <w:sz w:val="21"/>
                <w:szCs w:val="21"/>
              </w:rPr>
              <w:t xml:space="preserve">Component</w:t>
            </w:r>
          </w:p>
        </w:tc>
        <w:tc>
          <w:tcPr>
            <w:tcW w:type="dxa" w:w="6980"/>
            <w:shd w:fill="2E5B8A" w:color="auto" w:val="clear"/>
            <w:tcMar>
              <w:top w:type="dxa" w:w="100"/>
              <w:left w:type="dxa" w:w="120"/>
              <w:bottom w:type="dxa" w:w="100"/>
              <w:right w:type="dxa" w:w="120"/>
            </w:tcMar>
          </w:tcPr>
          <w:p>
            <w:r>
              <w:rPr>
                <w:b/>
                <w:bCs/>
                <w:color w:val="FFFFFF"/>
                <w:sz w:val="21"/>
                <w:szCs w:val="21"/>
              </w:rPr>
              <w:t xml:space="preserve">What it does</w:t>
            </w:r>
          </w:p>
        </w:tc>
      </w:tr>
      <w:tr>
        <w:tc>
          <w:tcPr>
            <w:tcW w:type="dxa" w:w="2600"/>
            <w:shd w:fill="FFFFFF" w:color="auto" w:val="clear"/>
            <w:tcMar>
              <w:top w:type="dxa" w:w="100"/>
              <w:left w:type="dxa" w:w="120"/>
              <w:bottom w:type="dxa" w:w="100"/>
              <w:right w:type="dxa" w:w="120"/>
            </w:tcMar>
          </w:tcPr>
          <w:p>
            <w:r>
              <w:rPr>
                <w:b/>
                <w:bCs/>
                <w:color w:val="1A1A1A"/>
                <w:sz w:val="20"/>
                <w:szCs w:val="20"/>
              </w:rPr>
              <w:t xml:space="preserve">Chains</w:t>
            </w:r>
          </w:p>
        </w:tc>
        <w:tc>
          <w:tcPr>
            <w:tcW w:type="dxa" w:w="6980"/>
            <w:shd w:fill="FFFFFF" w:color="auto" w:val="clear"/>
            <w:tcMar>
              <w:top w:type="dxa" w:w="100"/>
              <w:left w:type="dxa" w:w="120"/>
              <w:bottom w:type="dxa" w:w="100"/>
              <w:right w:type="dxa" w:w="120"/>
            </w:tcMar>
          </w:tcPr>
          <w:p>
            <w:r>
              <w:rPr>
                <w:color w:val="1A1A1A"/>
                <w:sz w:val="20"/>
                <w:szCs w:val="20"/>
              </w:rPr>
              <w:t xml:space="preserve">The sequence of steps is fixed by the developer in advance. Predictable and easy to debug.</w:t>
            </w:r>
          </w:p>
        </w:tc>
      </w:tr>
      <w:tr>
        <w:tc>
          <w:tcPr>
            <w:tcW w:type="dxa" w:w="2600"/>
            <w:shd w:fill="F7F9FC" w:color="auto" w:val="clear"/>
            <w:tcMar>
              <w:top w:type="dxa" w:w="100"/>
              <w:left w:type="dxa" w:w="120"/>
              <w:bottom w:type="dxa" w:w="100"/>
              <w:right w:type="dxa" w:w="120"/>
            </w:tcMar>
          </w:tcPr>
          <w:p>
            <w:r>
              <w:rPr>
                <w:b/>
                <w:bCs/>
                <w:color w:val="1A1A1A"/>
                <w:sz w:val="20"/>
                <w:szCs w:val="20"/>
              </w:rPr>
              <w:t xml:space="preserve">Agents</w:t>
            </w:r>
          </w:p>
        </w:tc>
        <w:tc>
          <w:tcPr>
            <w:tcW w:type="dxa" w:w="6980"/>
            <w:shd w:fill="F7F9FC" w:color="auto" w:val="clear"/>
            <w:tcMar>
              <w:top w:type="dxa" w:w="100"/>
              <w:left w:type="dxa" w:w="120"/>
              <w:bottom w:type="dxa" w:w="100"/>
              <w:right w:type="dxa" w:w="120"/>
            </w:tcMar>
          </w:tcPr>
          <w:p>
            <w:r>
              <w:rPr>
                <w:color w:val="1A1A1A"/>
                <w:sz w:val="20"/>
                <w:szCs w:val="20"/>
              </w:rPr>
              <w:t xml:space="preserve">The LLM itself decides, at each step, which tool to call and in what order, based on the task. More flexible but less predictable.</w:t>
            </w:r>
          </w:p>
        </w:tc>
      </w:tr>
    </w:tbl>
    <w:p>
      <w:pPr>
        <w:spacing w:after="160"/>
      </w:pPr>
    </w:p>
    <w:tbl>
      <w:tblPr>
        <w:tblW w:type="pct" w:w="100%"/>
        <w:tblBorders>
          <w:top w:val="single" w:color="2E5B8A" w:sz="4"/>
          <w:left w:val="single" w:color="2E5B8A" w:sz="4"/>
          <w:bottom w:val="single" w:color="2E5B8A" w:sz="4"/>
          <w:right w:val="single" w:color="2E5B8A" w:sz="4"/>
          <w:insideH w:val="none" w:color="FFFFFF" w:sz="0"/>
          <w:insideV w:val="none" w:color="FFFFFF" w:sz="0"/>
        </w:tblBorders>
      </w:tblPr>
      <w:tblGrid>
        <w:gridCol w:w="100"/>
      </w:tblGrid>
      <w:tr>
        <w:tc>
          <w:tcPr>
            <w:tcW w:type="pct" w:w="100%"/>
            <w:shd w:fill="DCE6F0" w:color="auto" w:val="clear"/>
            <w:tcMar>
              <w:top w:type="dxa" w:w="150"/>
              <w:left w:type="dxa" w:w="200"/>
              <w:bottom w:type="dxa" w:w="150"/>
              <w:right w:type="dxa" w:w="200"/>
            </w:tcMar>
          </w:tcPr>
          <w:p>
            <w:r>
              <w:rPr>
                <w:b/>
                <w:bCs/>
                <w:color w:val="2E5B8A"/>
                <w:sz w:val="21"/>
                <w:szCs w:val="21"/>
              </w:rPr>
              <w:t xml:space="preserve">Note: </w:t>
            </w:r>
            <w:r>
              <w:rPr>
                <w:i/>
                <w:iCs/>
                <w:color w:val="1A1A1A"/>
                <w:sz w:val="21"/>
                <w:szCs w:val="21"/>
              </w:rPr>
              <w:t xml:space="preserve">As a rule of thumb: use a chain when the workflow is known ahead of time; use an agent when the model needs to reason about which steps are required.</w:t>
            </w:r>
          </w:p>
        </w:tc>
      </w:tr>
    </w:tbl>
    <w:p>
      <w:pPr>
        <w:pStyle w:val="Heading1"/>
        <w:spacing w:after="160" w:before="360"/>
      </w:pPr>
      <w:r>
        <w:t xml:space="preserve">7. Common Use Cases</w:t>
      </w:r>
    </w:p>
    <w:p>
      <w:pPr>
        <w:pStyle w:val="ListParagraph"/>
        <w:numPr>
          <w:ilvl w:val="0"/>
          <w:numId w:val="2"/>
        </w:numPr>
        <w:spacing w:after="100" w:line="290"/>
      </w:pPr>
      <w:r>
        <w:rPr>
          <w:color w:val="1A1A1A"/>
          <w:sz w:val="22"/>
          <w:szCs w:val="22"/>
        </w:rPr>
        <w:t xml:space="preserve">Question-answering over private documents or knowledge bases (RAG).</w:t>
      </w:r>
    </w:p>
    <w:p>
      <w:pPr>
        <w:pStyle w:val="ListParagraph"/>
        <w:numPr>
          <w:ilvl w:val="0"/>
          <w:numId w:val="2"/>
        </w:numPr>
        <w:spacing w:after="100" w:line="290"/>
      </w:pPr>
      <w:r>
        <w:rPr>
          <w:color w:val="1A1A1A"/>
          <w:sz w:val="22"/>
          <w:szCs w:val="22"/>
        </w:rPr>
        <w:t xml:space="preserve">Conversational chatbots and customer support assistants with memory.</w:t>
      </w:r>
    </w:p>
    <w:p>
      <w:pPr>
        <w:pStyle w:val="ListParagraph"/>
        <w:numPr>
          <w:ilvl w:val="0"/>
          <w:numId w:val="2"/>
        </w:numPr>
        <w:spacing w:after="100" w:line="290"/>
      </w:pPr>
      <w:r>
        <w:rPr>
          <w:color w:val="1A1A1A"/>
          <w:sz w:val="22"/>
          <w:szCs w:val="22"/>
        </w:rPr>
        <w:t xml:space="preserve">Autonomous or semi-autonomous agents that use tools (web search, code execution, databases).</w:t>
      </w:r>
    </w:p>
    <w:p>
      <w:pPr>
        <w:pStyle w:val="ListParagraph"/>
        <w:numPr>
          <w:ilvl w:val="0"/>
          <w:numId w:val="2"/>
        </w:numPr>
        <w:spacing w:after="100" w:line="290"/>
      </w:pPr>
      <w:r>
        <w:rPr>
          <w:color w:val="1A1A1A"/>
          <w:sz w:val="22"/>
          <w:szCs w:val="22"/>
        </w:rPr>
        <w:t xml:space="preserve">Summarization pipelines for large documents or reports.</w:t>
      </w:r>
    </w:p>
    <w:p>
      <w:pPr>
        <w:pStyle w:val="ListParagraph"/>
        <w:numPr>
          <w:ilvl w:val="0"/>
          <w:numId w:val="2"/>
        </w:numPr>
        <w:spacing w:after="100" w:line="290"/>
      </w:pPr>
      <w:r>
        <w:rPr>
          <w:color w:val="1A1A1A"/>
          <w:sz w:val="22"/>
          <w:szCs w:val="22"/>
        </w:rPr>
        <w:t xml:space="preserve">Structured data extraction from unstructured text.</w:t>
      </w:r>
    </w:p>
    <w:p>
      <w:pPr>
        <w:pStyle w:val="ListParagraph"/>
        <w:numPr>
          <w:ilvl w:val="0"/>
          <w:numId w:val="2"/>
        </w:numPr>
        <w:spacing w:after="100" w:line="290"/>
      </w:pPr>
      <w:r>
        <w:rPr>
          <w:color w:val="1A1A1A"/>
          <w:sz w:val="22"/>
          <w:szCs w:val="22"/>
        </w:rPr>
        <w:t xml:space="preserve">Multi-agent orchestration for complex workflows (via LangGraph).</w:t>
      </w:r>
    </w:p>
    <w:p>
      <w:pPr>
        <w:pStyle w:val="Heading1"/>
        <w:spacing w:after="160" w:before="360"/>
      </w:pPr>
      <w:r>
        <w:t xml:space="preserve">8. Related Ecosystem Tools</w:t>
      </w:r>
    </w:p>
    <w:p>
      <w:pPr>
        <w:spacing w:after="60"/>
      </w:pPr>
    </w:p>
    <w:tbl>
      <w:tblPr>
        <w:tblW w:type="dxa" w:w="958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980"/>
      </w:tblGrid>
      <w:tr>
        <w:trPr>
          <w:tblHeader/>
        </w:trPr>
        <w:tc>
          <w:tcPr>
            <w:tcW w:type="dxa" w:w="2600"/>
            <w:shd w:fill="2E5B8A" w:color="auto" w:val="clear"/>
            <w:tcMar>
              <w:top w:type="dxa" w:w="100"/>
              <w:left w:type="dxa" w:w="120"/>
              <w:bottom w:type="dxa" w:w="100"/>
              <w:right w:type="dxa" w:w="120"/>
            </w:tcMar>
          </w:tcPr>
          <w:p>
            <w:r>
              <w:rPr>
                <w:b/>
                <w:bCs/>
                <w:color w:val="FFFFFF"/>
                <w:sz w:val="21"/>
                <w:szCs w:val="21"/>
              </w:rPr>
              <w:t xml:space="preserve">Component</w:t>
            </w:r>
          </w:p>
        </w:tc>
        <w:tc>
          <w:tcPr>
            <w:tcW w:type="dxa" w:w="6980"/>
            <w:shd w:fill="2E5B8A" w:color="auto" w:val="clear"/>
            <w:tcMar>
              <w:top w:type="dxa" w:w="100"/>
              <w:left w:type="dxa" w:w="120"/>
              <w:bottom w:type="dxa" w:w="100"/>
              <w:right w:type="dxa" w:w="120"/>
            </w:tcMar>
          </w:tcPr>
          <w:p>
            <w:r>
              <w:rPr>
                <w:b/>
                <w:bCs/>
                <w:color w:val="FFFFFF"/>
                <w:sz w:val="21"/>
                <w:szCs w:val="21"/>
              </w:rPr>
              <w:t xml:space="preserve">What it does</w:t>
            </w:r>
          </w:p>
        </w:tc>
      </w:tr>
      <w:tr>
        <w:tc>
          <w:tcPr>
            <w:tcW w:type="dxa" w:w="2600"/>
            <w:shd w:fill="FFFFFF" w:color="auto" w:val="clear"/>
            <w:tcMar>
              <w:top w:type="dxa" w:w="100"/>
              <w:left w:type="dxa" w:w="120"/>
              <w:bottom w:type="dxa" w:w="100"/>
              <w:right w:type="dxa" w:w="120"/>
            </w:tcMar>
          </w:tcPr>
          <w:p>
            <w:r>
              <w:rPr>
                <w:b/>
                <w:bCs/>
                <w:color w:val="1A1A1A"/>
                <w:sz w:val="20"/>
                <w:szCs w:val="20"/>
              </w:rPr>
              <w:t xml:space="preserve">LangGraph</w:t>
            </w:r>
          </w:p>
        </w:tc>
        <w:tc>
          <w:tcPr>
            <w:tcW w:type="dxa" w:w="6980"/>
            <w:shd w:fill="FFFFFF" w:color="auto" w:val="clear"/>
            <w:tcMar>
              <w:top w:type="dxa" w:w="100"/>
              <w:left w:type="dxa" w:w="120"/>
              <w:bottom w:type="dxa" w:w="100"/>
              <w:right w:type="dxa" w:w="120"/>
            </w:tcMar>
          </w:tcPr>
          <w:p>
            <w:r>
              <w:rPr>
                <w:color w:val="1A1A1A"/>
                <w:sz w:val="20"/>
                <w:szCs w:val="20"/>
              </w:rPr>
              <w:t xml:space="preserve">Framework for building controllable, stateful multi-step or multi-agent applications as graphs.</w:t>
            </w:r>
          </w:p>
        </w:tc>
      </w:tr>
      <w:tr>
        <w:tc>
          <w:tcPr>
            <w:tcW w:type="dxa" w:w="2600"/>
            <w:shd w:fill="F7F9FC" w:color="auto" w:val="clear"/>
            <w:tcMar>
              <w:top w:type="dxa" w:w="100"/>
              <w:left w:type="dxa" w:w="120"/>
              <w:bottom w:type="dxa" w:w="100"/>
              <w:right w:type="dxa" w:w="120"/>
            </w:tcMar>
          </w:tcPr>
          <w:p>
            <w:r>
              <w:rPr>
                <w:b/>
                <w:bCs/>
                <w:color w:val="1A1A1A"/>
                <w:sz w:val="20"/>
                <w:szCs w:val="20"/>
              </w:rPr>
              <w:t xml:space="preserve">LangSmith</w:t>
            </w:r>
          </w:p>
        </w:tc>
        <w:tc>
          <w:tcPr>
            <w:tcW w:type="dxa" w:w="6980"/>
            <w:shd w:fill="F7F9FC" w:color="auto" w:val="clear"/>
            <w:tcMar>
              <w:top w:type="dxa" w:w="100"/>
              <w:left w:type="dxa" w:w="120"/>
              <w:bottom w:type="dxa" w:w="100"/>
              <w:right w:type="dxa" w:w="120"/>
            </w:tcMar>
          </w:tcPr>
          <w:p>
            <w:r>
              <w:rPr>
                <w:color w:val="1A1A1A"/>
                <w:sz w:val="20"/>
                <w:szCs w:val="20"/>
              </w:rPr>
              <w:t xml:space="preserve">Observability and debugging platform for tracing, evaluating, and monitoring LangChain applications in production.</w:t>
            </w:r>
          </w:p>
        </w:tc>
      </w:tr>
      <w:tr>
        <w:tc>
          <w:tcPr>
            <w:tcW w:type="dxa" w:w="2600"/>
            <w:shd w:fill="FFFFFF" w:color="auto" w:val="clear"/>
            <w:tcMar>
              <w:top w:type="dxa" w:w="100"/>
              <w:left w:type="dxa" w:w="120"/>
              <w:bottom w:type="dxa" w:w="100"/>
              <w:right w:type="dxa" w:w="120"/>
            </w:tcMar>
          </w:tcPr>
          <w:p>
            <w:r>
              <w:rPr>
                <w:b/>
                <w:bCs/>
                <w:color w:val="1A1A1A"/>
                <w:sz w:val="20"/>
                <w:szCs w:val="20"/>
              </w:rPr>
              <w:t xml:space="preserve">LangServe</w:t>
            </w:r>
          </w:p>
        </w:tc>
        <w:tc>
          <w:tcPr>
            <w:tcW w:type="dxa" w:w="6980"/>
            <w:shd w:fill="FFFFFF" w:color="auto" w:val="clear"/>
            <w:tcMar>
              <w:top w:type="dxa" w:w="100"/>
              <w:left w:type="dxa" w:w="120"/>
              <w:bottom w:type="dxa" w:w="100"/>
              <w:right w:type="dxa" w:w="120"/>
            </w:tcMar>
          </w:tcPr>
          <w:p>
            <w:r>
              <w:rPr>
                <w:color w:val="1A1A1A"/>
                <w:sz w:val="20"/>
                <w:szCs w:val="20"/>
              </w:rPr>
              <w:t xml:space="preserve">Tool for deploying LangChain chains as REST APIs.</w:t>
            </w:r>
          </w:p>
        </w:tc>
      </w:tr>
    </w:tbl>
    <w:p>
      <w:pPr>
        <w:spacing w:after="160"/>
      </w:pPr>
    </w:p>
    <w:p>
      <w:pPr>
        <w:pStyle w:val="Heading1"/>
        <w:spacing w:after="160" w:before="360"/>
      </w:pPr>
      <w:r>
        <w:t xml:space="preserve">9. Key Takeaways</w:t>
      </w:r>
    </w:p>
    <w:p>
      <w:pPr>
        <w:pStyle w:val="ListParagraph"/>
        <w:numPr>
          <w:ilvl w:val="0"/>
          <w:numId w:val="2"/>
        </w:numPr>
        <w:spacing w:after="100" w:line="290"/>
      </w:pPr>
      <w:r>
        <w:rPr>
          <w:color w:val="1A1A1A"/>
          <w:sz w:val="22"/>
          <w:szCs w:val="22"/>
        </w:rPr>
        <w:t xml:space="preserve">LangChain is a framework for composing LLMs with data, tools, and logic — not a model itself.</w:t>
      </w:r>
    </w:p>
    <w:p>
      <w:pPr>
        <w:pStyle w:val="ListParagraph"/>
        <w:numPr>
          <w:ilvl w:val="0"/>
          <w:numId w:val="2"/>
        </w:numPr>
        <w:spacing w:after="100" w:line="290"/>
      </w:pPr>
      <w:r>
        <w:rPr>
          <w:color w:val="1A1A1A"/>
          <w:sz w:val="22"/>
          <w:szCs w:val="22"/>
        </w:rPr>
        <w:t xml:space="preserve">Its core building blocks are prompts, chains, memory, agents, tools, and retrievers.</w:t>
      </w:r>
    </w:p>
    <w:p>
      <w:pPr>
        <w:pStyle w:val="ListParagraph"/>
        <w:numPr>
          <w:ilvl w:val="0"/>
          <w:numId w:val="2"/>
        </w:numPr>
        <w:spacing w:after="100" w:line="290"/>
      </w:pPr>
      <w:r>
        <w:rPr>
          <w:color w:val="1A1A1A"/>
          <w:sz w:val="22"/>
          <w:szCs w:val="22"/>
        </w:rPr>
        <w:t xml:space="preserve">LCEL provides a clean, composable syntax for building chains using the pipe operator.</w:t>
      </w:r>
    </w:p>
    <w:p>
      <w:pPr>
        <w:pStyle w:val="ListParagraph"/>
        <w:numPr>
          <w:ilvl w:val="0"/>
          <w:numId w:val="2"/>
        </w:numPr>
        <w:spacing w:after="100" w:line="290"/>
      </w:pPr>
      <w:r>
        <w:rPr>
          <w:color w:val="1A1A1A"/>
          <w:sz w:val="22"/>
          <w:szCs w:val="22"/>
        </w:rPr>
        <w:t xml:space="preserve">RAG is the most common production pattern: load → split → embed → retrieve → generate.</w:t>
      </w:r>
    </w:p>
    <w:p>
      <w:pPr>
        <w:pStyle w:val="ListParagraph"/>
        <w:numPr>
          <w:ilvl w:val="0"/>
          <w:numId w:val="2"/>
        </w:numPr>
        <w:spacing w:after="100" w:line="290"/>
      </w:pPr>
      <w:r>
        <w:rPr>
          <w:color w:val="1A1A1A"/>
          <w:sz w:val="22"/>
          <w:szCs w:val="22"/>
        </w:rPr>
        <w:t xml:space="preserve">Agents add flexibility by letting the model choose actions dynamically, at the cost of predictability.</w:t>
      </w:r>
    </w:p>
    <w:p>
      <w:pPr>
        <w:pStyle w:val="ListParagraph"/>
        <w:numPr>
          <w:ilvl w:val="0"/>
          <w:numId w:val="2"/>
        </w:numPr>
        <w:spacing w:after="100" w:line="290"/>
      </w:pPr>
      <w:r>
        <w:rPr>
          <w:color w:val="1A1A1A"/>
          <w:sz w:val="22"/>
          <w:szCs w:val="22"/>
        </w:rPr>
        <w:t xml:space="preserve">LangGraph, LangSmith, and LangServe extend LangChain for complex workflows, observability, and deployment.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2026-08-25T09:32:23.953Z</dcterms:created>
  <dcterms:modified xsi:type="dcterms:W3CDTF">2026-08-25T09:32:23.971Z</dcterms:modified>
</cp:coreProperties>
</file>

<file path=docProps/custom.xml><?xml version="1.0" encoding="utf-8"?>
<Properties xmlns="http://schemas.openxmlformats.org/officeDocument/2006/custom-properties" xmlns:vt="http://schemas.openxmlformats.org/officeDocument/2006/docPropsVTypes"/>
</file>