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4D39" w14:textId="77777777" w:rsidR="00F07870" w:rsidRDefault="00000000">
      <w:pPr>
        <w:pBdr>
          <w:bottom w:val="single" w:sz="18" w:space="0" w:color="B51E3B"/>
        </w:pBdr>
        <w:spacing w:after="160"/>
      </w:pPr>
      <w:r>
        <w:t xml:space="preserve"> </w:t>
      </w:r>
    </w:p>
    <w:p w14:paraId="446A4A24" w14:textId="77777777" w:rsidR="00F07870" w:rsidRDefault="00000000">
      <w:pPr>
        <w:jc w:val="center"/>
      </w:pPr>
      <w:r>
        <w:rPr>
          <w:b/>
          <w:color w:val="263D50"/>
          <w:sz w:val="34"/>
        </w:rPr>
        <w:t>Compliance of Selected Electronics Manufacturing Companies with</w:t>
      </w:r>
      <w:r>
        <w:rPr>
          <w:b/>
          <w:color w:val="263D50"/>
          <w:sz w:val="34"/>
        </w:rPr>
        <w:br/>
        <w:t>E-Waste Management Rules in India</w:t>
      </w:r>
    </w:p>
    <w:p w14:paraId="3CAB1707" w14:textId="77777777" w:rsidR="00F07870" w:rsidRDefault="00000000">
      <w:pPr>
        <w:jc w:val="center"/>
      </w:pPr>
      <w:r>
        <w:rPr>
          <w:b/>
          <w:color w:val="B51E3B"/>
          <w:sz w:val="26"/>
        </w:rPr>
        <w:t>An Analytical Study of Five Leading Firms</w:t>
      </w:r>
    </w:p>
    <w:p w14:paraId="7EC3F157" w14:textId="77777777" w:rsidR="00E41C97" w:rsidRDefault="00000000">
      <w:pPr>
        <w:jc w:val="center"/>
        <w:rPr>
          <w:i/>
        </w:rPr>
      </w:pPr>
      <w:r>
        <w:rPr>
          <w:i/>
        </w:rPr>
        <w:t>Name:</w:t>
      </w:r>
      <w:r w:rsidR="00E41C97">
        <w:rPr>
          <w:i/>
        </w:rPr>
        <w:t xml:space="preserve"> Laxmi Bonde (24102A0049)</w:t>
      </w:r>
    </w:p>
    <w:p w14:paraId="0EE9EFD6" w14:textId="75E7FCB2" w:rsidR="00E41C97" w:rsidRDefault="00E41C97">
      <w:pPr>
        <w:jc w:val="center"/>
        <w:rPr>
          <w:i/>
        </w:rPr>
      </w:pPr>
      <w:r>
        <w:rPr>
          <w:i/>
        </w:rPr>
        <w:t xml:space="preserve"> Satyam </w:t>
      </w:r>
      <w:proofErr w:type="spellStart"/>
      <w:r>
        <w:rPr>
          <w:i/>
        </w:rPr>
        <w:t>Revgade</w:t>
      </w:r>
      <w:proofErr w:type="spellEnd"/>
      <w:r>
        <w:rPr>
          <w:i/>
        </w:rPr>
        <w:t xml:space="preserve"> (24102A0035)</w:t>
      </w:r>
    </w:p>
    <w:p w14:paraId="0A9F3A1E" w14:textId="16DFD932" w:rsidR="00F07870" w:rsidRDefault="00000000">
      <w:pPr>
        <w:jc w:val="center"/>
      </w:pPr>
      <w:r>
        <w:rPr>
          <w:i/>
        </w:rPr>
        <w:t xml:space="preserve">     </w:t>
      </w:r>
    </w:p>
    <w:p w14:paraId="19854AD2" w14:textId="77777777" w:rsidR="00F07870" w:rsidRDefault="00000000">
      <w:pPr>
        <w:pStyle w:val="Heading1"/>
      </w:pPr>
      <w:r>
        <w:t>ABSTRACT</w:t>
      </w:r>
    </w:p>
    <w:p w14:paraId="29941D6D" w14:textId="77777777" w:rsidR="00F07870" w:rsidRDefault="00000000">
      <w:pPr>
        <w:jc w:val="both"/>
      </w:pPr>
      <w:r>
        <w:t>Electronic waste is a growing environmental and public-health concern in India, particularly because significant quantities can move through informal collection and recycling channels. This study reviews the publicly stated e-waste practices of five Indian electronics manufacturers: Dixon Technologies (India) Limited, Kaynes Technology India Limited, Sahasra Electronics Private Limited, Centum Electronics Limited and Syrma SGS Technology Limited. The comparison focuses on E-Waste Rules compliance, Extended Producer Responsibility (EPR), use of authorised recyclers, source segregation, hazardous-substance controls and related environmental practices. The study is based on public disclosures and does not constitute an independent facility audit. It also identifies disclosure gaps and recommends stronger quantitative reporting, formal-sector integration and clearer public information.</w:t>
      </w:r>
    </w:p>
    <w:p w14:paraId="3239AED9" w14:textId="77777777" w:rsidR="00F07870" w:rsidRDefault="00000000">
      <w:r>
        <w:rPr>
          <w:b/>
        </w:rPr>
        <w:t xml:space="preserve">Keywords: </w:t>
      </w:r>
      <w:r>
        <w:t>E-waste, EPR, RoHS, authorised recycling, corporate compliance, source segregation, India.</w:t>
      </w:r>
    </w:p>
    <w:p w14:paraId="69F582E9" w14:textId="77777777" w:rsidR="00F07870" w:rsidRDefault="00000000">
      <w:pPr>
        <w:pStyle w:val="Heading1"/>
      </w:pPr>
      <w:r>
        <w:t>INTRODUCTION</w:t>
      </w:r>
    </w:p>
    <w:p w14:paraId="0AAC1ACF" w14:textId="77777777" w:rsidR="00F07870" w:rsidRDefault="00000000">
      <w:pPr>
        <w:jc w:val="both"/>
      </w:pPr>
      <w:r>
        <w:t>Rapid growth in electrical and electronic equipment has improved connectivity, productivity and quality of life, but it has also increased discarded equipment and demand for raw materials. Electronic products may contain hazardous substances, making collection, storage, dismantling and recycling important environmental-management functions.</w:t>
      </w:r>
    </w:p>
    <w:p w14:paraId="078D3BD6" w14:textId="77777777" w:rsidR="00F07870" w:rsidRDefault="00000000">
      <w:pPr>
        <w:jc w:val="both"/>
      </w:pPr>
      <w:r>
        <w:t>The supplied analytical study notes that India generated about 3.2 million tonnes of e-waste in 2019 according to the Global E-waste Monitor 2020, while CPCB estimated 10,14,961.2 tonnes for 21 types of EEE in 2019-20 based on sales data from 1,380 producers. Despite a formal legal framework, informal handling remains a major challenge.</w:t>
      </w:r>
    </w:p>
    <w:p w14:paraId="503D42E7" w14:textId="77777777" w:rsidR="00F07870" w:rsidRDefault="00000000">
      <w:pPr>
        <w:jc w:val="both"/>
      </w:pPr>
      <w:r>
        <w:t>This report therefore compares five formal-sector electronics manufacturers to understand the practices they publicly state they follow for e-waste collection, segregation, channelisation, recycling, EPR and hazardous-waste management.</w:t>
      </w:r>
    </w:p>
    <w:p w14:paraId="593C80AB" w14:textId="77777777" w:rsidR="00F07870" w:rsidRDefault="00000000">
      <w:pPr>
        <w:pStyle w:val="Heading1"/>
      </w:pPr>
      <w:r>
        <w:t>MATERIAL AND METHOD</w:t>
      </w:r>
    </w:p>
    <w:p w14:paraId="0120F76B" w14:textId="77777777" w:rsidR="00F07870" w:rsidRDefault="00000000">
      <w:pPr>
        <w:jc w:val="both"/>
      </w:pPr>
      <w:r>
        <w:t>The study is analytical and comparative. It relies on the E-Waste (Management) Rules and amendments, the Hazardous and Other Wastes (Management and Transboundary Movement) Rules, CPCB guidance on EPR, corporate sustainability and website disclosures, environmental-management certifications, and secondary literature. The evidence is documentary: no independent physical inspection or compliance audit of company facilities is claimed.</w:t>
      </w:r>
    </w:p>
    <w:p w14:paraId="68C0686F" w14:textId="77777777" w:rsidR="00F07870" w:rsidRDefault="00000000">
      <w:pPr>
        <w:pStyle w:val="Heading1"/>
      </w:pPr>
      <w:r>
        <w:t>OVERVIEW OF THE APPLICABLE LEGAL FRAMEWORK IN INDIA</w:t>
      </w:r>
    </w:p>
    <w:p w14:paraId="38735CBE" w14:textId="77777777" w:rsidR="00F07870" w:rsidRDefault="00000000">
      <w:pPr>
        <w:ind w:left="288"/>
      </w:pPr>
      <w:r>
        <w:rPr>
          <w:b/>
        </w:rPr>
        <w:t xml:space="preserve">• E-Waste (Management) Rules: </w:t>
      </w:r>
      <w:r>
        <w:t>establish producer responsibility and require environmentally sound channelisation of e-waste through authorised systems.</w:t>
      </w:r>
    </w:p>
    <w:p w14:paraId="3CB9B1FA" w14:textId="77777777" w:rsidR="00F07870" w:rsidRDefault="00000000">
      <w:pPr>
        <w:ind w:left="288"/>
      </w:pPr>
      <w:r>
        <w:rPr>
          <w:b/>
        </w:rPr>
        <w:t xml:space="preserve">• Extended Producer Responsibility (EPR): </w:t>
      </w:r>
      <w:r>
        <w:t>places end-of-life responsibility on producers where applicable and links collection/recycling obligations to the producer role.</w:t>
      </w:r>
    </w:p>
    <w:p w14:paraId="3AED8C34" w14:textId="77777777" w:rsidR="00F07870" w:rsidRDefault="00000000">
      <w:pPr>
        <w:ind w:left="288"/>
      </w:pPr>
      <w:r>
        <w:rPr>
          <w:b/>
        </w:rPr>
        <w:lastRenderedPageBreak/>
        <w:t xml:space="preserve">• Hazardous and Other Wastes Rules, 2016: </w:t>
      </w:r>
      <w:r>
        <w:t>regulate storage, transport, import/export and disposal of hazardous waste categories.</w:t>
      </w:r>
    </w:p>
    <w:p w14:paraId="46286C33" w14:textId="77777777" w:rsidR="00F07870" w:rsidRDefault="00000000">
      <w:pPr>
        <w:ind w:left="288"/>
      </w:pPr>
      <w:r>
        <w:rPr>
          <w:b/>
        </w:rPr>
        <w:t xml:space="preserve">• RoHS requirements: </w:t>
      </w:r>
      <w:r>
        <w:t>restrict specified hazardous substances such as lead, mercury, cadmium, hexavalent chromium, PBB and PBDE in applicable electrical and electronic equipment.</w:t>
      </w:r>
    </w:p>
    <w:p w14:paraId="17CBBB0B" w14:textId="77777777" w:rsidR="00F07870" w:rsidRDefault="00000000">
      <w:pPr>
        <w:ind w:left="288"/>
      </w:pPr>
      <w:r>
        <w:rPr>
          <w:b/>
        </w:rPr>
        <w:t xml:space="preserve">• Environmental and occupational requirements: </w:t>
      </w:r>
      <w:r>
        <w:t>include pollution-control, safe handling and workplace obligations relevant to manufacturing and waste management.</w:t>
      </w:r>
    </w:p>
    <w:p w14:paraId="7DD358A7" w14:textId="77777777" w:rsidR="00F07870" w:rsidRDefault="00000000">
      <w:pPr>
        <w:pStyle w:val="Heading1"/>
      </w:pPr>
      <w:r>
        <w:t>COMPANY-WISE ANALYSIS OF E-WASTE RULES COMPLIANCE</w:t>
      </w:r>
    </w:p>
    <w:p w14:paraId="2FFCFFB2" w14:textId="77777777" w:rsidR="00F07870" w:rsidRDefault="00000000">
      <w:pPr>
        <w:pStyle w:val="Heading2"/>
      </w:pPr>
      <w:r>
        <w:t>1. Dixon Technologies (India) Limited</w:t>
      </w:r>
    </w:p>
    <w:p w14:paraId="17EA216A" w14:textId="77777777" w:rsidR="00F07870" w:rsidRDefault="00000000">
      <w:pPr>
        <w:jc w:val="both"/>
      </w:pPr>
      <w:r>
        <w:t>Dixon is a major electronics manufacturing services company with a predominantly B2B contract-manufacturing model. Its public practices include channelising e-waste to government-authorised recyclers, applying EPR requirements where relevant, following Reduce-Reuse-Recycle principles and maintaining source segregation.</w:t>
      </w:r>
    </w:p>
    <w:p w14:paraId="0C109981" w14:textId="77777777" w:rsidR="00F07870" w:rsidRDefault="00000000">
      <w:pPr>
        <w:jc w:val="both"/>
      </w:pPr>
      <w:r>
        <w:t>The supplied study also identifies Dixon's RoHS controls for lead, mercury, cadmium, hexavalent chromium, PBB and PBDE, and reports a Zero Waste to Landfill approach. Direct consumer take-back is described as generally not applicable to its B2B model, with consumer-facing responsibility resting mainly with brand owners. No specific e-waste violation was identified in the reviewed disclosures.</w:t>
      </w:r>
    </w:p>
    <w:p w14:paraId="73DDB3F7" w14:textId="77777777" w:rsidR="00F07870" w:rsidRDefault="00000000">
      <w:pPr>
        <w:pStyle w:val="Heading2"/>
      </w:pPr>
      <w:r>
        <w:t>2. Kaynes Technology India Limited</w:t>
      </w:r>
    </w:p>
    <w:p w14:paraId="1B4DFD39" w14:textId="77777777" w:rsidR="00F07870" w:rsidRDefault="00000000">
      <w:pPr>
        <w:jc w:val="both"/>
      </w:pPr>
      <w:r>
        <w:t>Kaynes provides design-led electronics system design and manufacturing services. Its disclosed e-waste practices include collection, storage and disposal through CPCB-authorised recyclers and registered agencies, application of EPR requirements relevant to its operations, and use of authorised agencies for recycling, refurbishment and final disposal.</w:t>
      </w:r>
    </w:p>
    <w:p w14:paraId="19F83C2A" w14:textId="77777777" w:rsidR="00F07870" w:rsidRDefault="00000000">
      <w:pPr>
        <w:jc w:val="both"/>
      </w:pPr>
      <w:r>
        <w:t>The company also reports 3R practices, source segregation and controlled handling. The exact scope of consumer take-back depends on whether Kaynes acts as a producer for a particular product category. The reviewed material did not identify a specific current e-waste rule as publicly not followed.</w:t>
      </w:r>
    </w:p>
    <w:p w14:paraId="6328E388" w14:textId="77777777" w:rsidR="00F07870" w:rsidRDefault="00000000">
      <w:pPr>
        <w:pStyle w:val="Heading2"/>
      </w:pPr>
      <w:r>
        <w:t>3. Sahasra Electronics Private Limited</w:t>
      </w:r>
    </w:p>
    <w:p w14:paraId="32ADD52A" w14:textId="77777777" w:rsidR="00F07870" w:rsidRDefault="00000000">
      <w:pPr>
        <w:jc w:val="both"/>
      </w:pPr>
      <w:r>
        <w:t>Sahasra manufactures electronic components and assemblies and is presented in the source study as having formal EPR Authorisation and E-Waste Management Authorisation. It reports collection facilities, PAN-India collection capability, reverse logistics and channelisation to a recycler/dismantler registered with the Haryana State Pollution Control Board.</w:t>
      </w:r>
    </w:p>
    <w:p w14:paraId="51D7704B" w14:textId="77777777" w:rsidR="00F07870" w:rsidRDefault="00000000">
      <w:pPr>
        <w:jc w:val="both"/>
      </w:pPr>
      <w:r>
        <w:t>Sahasra also maintains authorised collection/drop points and an ISO 14001:2015 Environmental Management System. The source study therefore describes Sahasra as one of the more formally documented entities in the five-company sample. No specific e-waste regulation was publicly identified as not followed.</w:t>
      </w:r>
    </w:p>
    <w:p w14:paraId="50FBC463" w14:textId="77777777" w:rsidR="00F07870" w:rsidRDefault="00000000">
      <w:pPr>
        <w:pStyle w:val="Heading2"/>
      </w:pPr>
      <w:r>
        <w:t>4. Centum Electronics Limited</w:t>
      </w:r>
    </w:p>
    <w:p w14:paraId="65A9ED51" w14:textId="77777777" w:rsidR="00F07870" w:rsidRDefault="00000000">
      <w:pPr>
        <w:jc w:val="both"/>
      </w:pPr>
      <w:r>
        <w:t>Centum serves specialised aerospace, defence, industrial and medical electronics markets. Its disclosed practices include collection, segregation and storage of e-waste before disposal, use of approved authorised e-waste recyclers, recycling/reuse, and a Reduce-Recover-Reuse approach.</w:t>
      </w:r>
    </w:p>
    <w:p w14:paraId="43023715" w14:textId="77777777" w:rsidR="00F07870" w:rsidRDefault="00000000">
      <w:pPr>
        <w:jc w:val="both"/>
      </w:pPr>
      <w:r>
        <w:t>The company also reports authorised waste vendors and controlled hazardous-waste storage, transport and final disposal. Because much of its customer base is institutional or defence-related, consumer-oriented take-back has limited practical applicability, while facility-level environmental obligations remain applicable.</w:t>
      </w:r>
    </w:p>
    <w:p w14:paraId="470807BB" w14:textId="77777777" w:rsidR="00F07870" w:rsidRDefault="00000000">
      <w:pPr>
        <w:pStyle w:val="Heading2"/>
      </w:pPr>
      <w:r>
        <w:t>5. Syrma SGS Technology Limited</w:t>
      </w:r>
    </w:p>
    <w:p w14:paraId="1A1D6861" w14:textId="77777777" w:rsidR="00F07870" w:rsidRDefault="00000000">
      <w:pPr>
        <w:jc w:val="both"/>
      </w:pPr>
      <w:r>
        <w:t>Syrma SGS is a design and manufacturing services company with documented internal controls and customer-facing instructions. Its stated practices include EPR requirements, authorised dismantling/recycling, proper collection, transport, storage and segregation, authorised collection points and maintenance of e-waste tracking and disposal records.</w:t>
      </w:r>
    </w:p>
    <w:p w14:paraId="753A03BD" w14:textId="77777777" w:rsidR="00F07870" w:rsidRDefault="00000000">
      <w:pPr>
        <w:jc w:val="both"/>
      </w:pPr>
      <w:r>
        <w:t>The company instructs customers to use authorised collection or recycling points and not to dispose of e-waste through informal scrap channels, municipal garbage or landfill waste. No specific e-waste regulation was publicly identified as not followed in the reviewed material.</w:t>
      </w:r>
    </w:p>
    <w:p w14:paraId="4DAE53D5" w14:textId="77777777" w:rsidR="00F07870" w:rsidRDefault="00000000">
      <w:pPr>
        <w:pStyle w:val="Heading1"/>
      </w:pPr>
      <w:r>
        <w:lastRenderedPageBreak/>
        <w:t>COMPARATIVE SUMMARY OF COMPLIANCE PRACTICES</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F07870" w14:paraId="267E43C3" w14:textId="77777777">
        <w:trPr>
          <w:jc w:val="center"/>
        </w:trPr>
        <w:tc>
          <w:tcPr>
            <w:tcW w:w="1694" w:type="dxa"/>
            <w:shd w:val="clear" w:color="auto" w:fill="2D4356"/>
            <w:vAlign w:val="center"/>
          </w:tcPr>
          <w:p w14:paraId="33D2FB0E" w14:textId="77777777" w:rsidR="00F07870" w:rsidRDefault="00000000">
            <w:r>
              <w:rPr>
                <w:b/>
                <w:color w:val="FFFFFF"/>
                <w:sz w:val="14"/>
              </w:rPr>
              <w:t>Compliance Dimension</w:t>
            </w:r>
          </w:p>
        </w:tc>
        <w:tc>
          <w:tcPr>
            <w:tcW w:w="1694" w:type="dxa"/>
            <w:shd w:val="clear" w:color="auto" w:fill="2D4356"/>
            <w:vAlign w:val="center"/>
          </w:tcPr>
          <w:p w14:paraId="3FF61869" w14:textId="77777777" w:rsidR="00F07870" w:rsidRDefault="00000000">
            <w:r>
              <w:rPr>
                <w:b/>
                <w:color w:val="FFFFFF"/>
                <w:sz w:val="14"/>
              </w:rPr>
              <w:t>Dixon</w:t>
            </w:r>
          </w:p>
        </w:tc>
        <w:tc>
          <w:tcPr>
            <w:tcW w:w="1694" w:type="dxa"/>
            <w:shd w:val="clear" w:color="auto" w:fill="2D4356"/>
            <w:vAlign w:val="center"/>
          </w:tcPr>
          <w:p w14:paraId="5F134331" w14:textId="77777777" w:rsidR="00F07870" w:rsidRDefault="00000000">
            <w:r>
              <w:rPr>
                <w:b/>
                <w:color w:val="FFFFFF"/>
                <w:sz w:val="14"/>
              </w:rPr>
              <w:t>Kaynes</w:t>
            </w:r>
          </w:p>
        </w:tc>
        <w:tc>
          <w:tcPr>
            <w:tcW w:w="1694" w:type="dxa"/>
            <w:shd w:val="clear" w:color="auto" w:fill="2D4356"/>
            <w:vAlign w:val="center"/>
          </w:tcPr>
          <w:p w14:paraId="0105A0D9" w14:textId="77777777" w:rsidR="00F07870" w:rsidRDefault="00000000">
            <w:r>
              <w:rPr>
                <w:b/>
                <w:color w:val="FFFFFF"/>
                <w:sz w:val="14"/>
              </w:rPr>
              <w:t>Sahasra</w:t>
            </w:r>
          </w:p>
        </w:tc>
        <w:tc>
          <w:tcPr>
            <w:tcW w:w="1694" w:type="dxa"/>
            <w:shd w:val="clear" w:color="auto" w:fill="2D4356"/>
            <w:vAlign w:val="center"/>
          </w:tcPr>
          <w:p w14:paraId="4FF8437A" w14:textId="77777777" w:rsidR="00F07870" w:rsidRDefault="00000000">
            <w:r>
              <w:rPr>
                <w:b/>
                <w:color w:val="FFFFFF"/>
                <w:sz w:val="14"/>
              </w:rPr>
              <w:t>Centum</w:t>
            </w:r>
          </w:p>
        </w:tc>
        <w:tc>
          <w:tcPr>
            <w:tcW w:w="1694" w:type="dxa"/>
            <w:shd w:val="clear" w:color="auto" w:fill="2D4356"/>
            <w:vAlign w:val="center"/>
          </w:tcPr>
          <w:p w14:paraId="02418454" w14:textId="77777777" w:rsidR="00F07870" w:rsidRDefault="00000000">
            <w:r>
              <w:rPr>
                <w:b/>
                <w:color w:val="FFFFFF"/>
                <w:sz w:val="14"/>
              </w:rPr>
              <w:t>Syrma SGS</w:t>
            </w:r>
          </w:p>
        </w:tc>
      </w:tr>
      <w:tr w:rsidR="00F07870" w14:paraId="0AC5E49A" w14:textId="77777777">
        <w:trPr>
          <w:jc w:val="center"/>
        </w:trPr>
        <w:tc>
          <w:tcPr>
            <w:tcW w:w="1694" w:type="dxa"/>
            <w:shd w:val="clear" w:color="auto" w:fill="EDF1F3"/>
            <w:vAlign w:val="center"/>
          </w:tcPr>
          <w:p w14:paraId="54FA60FD" w14:textId="77777777" w:rsidR="00F07870" w:rsidRDefault="00000000">
            <w:r>
              <w:rPr>
                <w:sz w:val="14"/>
              </w:rPr>
              <w:t>E-Waste Rules compliance</w:t>
            </w:r>
          </w:p>
        </w:tc>
        <w:tc>
          <w:tcPr>
            <w:tcW w:w="1694" w:type="dxa"/>
            <w:shd w:val="clear" w:color="auto" w:fill="EDF1F3"/>
            <w:vAlign w:val="center"/>
          </w:tcPr>
          <w:p w14:paraId="2467AFE4" w14:textId="77777777" w:rsidR="00F07870" w:rsidRDefault="00000000">
            <w:r>
              <w:rPr>
                <w:sz w:val="14"/>
              </w:rPr>
              <w:t>Yes</w:t>
            </w:r>
          </w:p>
        </w:tc>
        <w:tc>
          <w:tcPr>
            <w:tcW w:w="1694" w:type="dxa"/>
            <w:shd w:val="clear" w:color="auto" w:fill="EDF1F3"/>
            <w:vAlign w:val="center"/>
          </w:tcPr>
          <w:p w14:paraId="38D37979" w14:textId="77777777" w:rsidR="00F07870" w:rsidRDefault="00000000">
            <w:r>
              <w:rPr>
                <w:sz w:val="14"/>
              </w:rPr>
              <w:t>Yes</w:t>
            </w:r>
          </w:p>
        </w:tc>
        <w:tc>
          <w:tcPr>
            <w:tcW w:w="1694" w:type="dxa"/>
            <w:shd w:val="clear" w:color="auto" w:fill="EDF1F3"/>
            <w:vAlign w:val="center"/>
          </w:tcPr>
          <w:p w14:paraId="23E7E0EA" w14:textId="77777777" w:rsidR="00F07870" w:rsidRDefault="00000000">
            <w:r>
              <w:rPr>
                <w:sz w:val="14"/>
              </w:rPr>
              <w:t>Yes</w:t>
            </w:r>
          </w:p>
        </w:tc>
        <w:tc>
          <w:tcPr>
            <w:tcW w:w="1694" w:type="dxa"/>
            <w:shd w:val="clear" w:color="auto" w:fill="EDF1F3"/>
            <w:vAlign w:val="center"/>
          </w:tcPr>
          <w:p w14:paraId="11AC2F34" w14:textId="77777777" w:rsidR="00F07870" w:rsidRDefault="00000000">
            <w:r>
              <w:rPr>
                <w:sz w:val="14"/>
              </w:rPr>
              <w:t>Yes</w:t>
            </w:r>
          </w:p>
        </w:tc>
        <w:tc>
          <w:tcPr>
            <w:tcW w:w="1694" w:type="dxa"/>
            <w:shd w:val="clear" w:color="auto" w:fill="EDF1F3"/>
            <w:vAlign w:val="center"/>
          </w:tcPr>
          <w:p w14:paraId="159B883A" w14:textId="77777777" w:rsidR="00F07870" w:rsidRDefault="00000000">
            <w:r>
              <w:rPr>
                <w:sz w:val="14"/>
              </w:rPr>
              <w:t>Yes</w:t>
            </w:r>
          </w:p>
        </w:tc>
      </w:tr>
      <w:tr w:rsidR="00F07870" w14:paraId="1A3D4D7D" w14:textId="77777777">
        <w:trPr>
          <w:jc w:val="center"/>
        </w:trPr>
        <w:tc>
          <w:tcPr>
            <w:tcW w:w="1694" w:type="dxa"/>
            <w:vAlign w:val="center"/>
          </w:tcPr>
          <w:p w14:paraId="64DF9F04" w14:textId="77777777" w:rsidR="00F07870" w:rsidRDefault="00000000">
            <w:r>
              <w:rPr>
                <w:sz w:val="14"/>
              </w:rPr>
              <w:t>EPR obligations</w:t>
            </w:r>
          </w:p>
        </w:tc>
        <w:tc>
          <w:tcPr>
            <w:tcW w:w="1694" w:type="dxa"/>
            <w:vAlign w:val="center"/>
          </w:tcPr>
          <w:p w14:paraId="71E449B2" w14:textId="77777777" w:rsidR="00F07870" w:rsidRDefault="00000000">
            <w:r>
              <w:rPr>
                <w:sz w:val="14"/>
              </w:rPr>
              <w:t>Where applicable</w:t>
            </w:r>
          </w:p>
        </w:tc>
        <w:tc>
          <w:tcPr>
            <w:tcW w:w="1694" w:type="dxa"/>
            <w:vAlign w:val="center"/>
          </w:tcPr>
          <w:p w14:paraId="5DEC2B6C" w14:textId="77777777" w:rsidR="00F07870" w:rsidRDefault="00000000">
            <w:r>
              <w:rPr>
                <w:sz w:val="14"/>
              </w:rPr>
              <w:t>Yes</w:t>
            </w:r>
          </w:p>
        </w:tc>
        <w:tc>
          <w:tcPr>
            <w:tcW w:w="1694" w:type="dxa"/>
            <w:vAlign w:val="center"/>
          </w:tcPr>
          <w:p w14:paraId="484AAE84" w14:textId="77777777" w:rsidR="00F07870" w:rsidRDefault="00000000">
            <w:r>
              <w:rPr>
                <w:sz w:val="14"/>
              </w:rPr>
              <w:t>Authorised</w:t>
            </w:r>
          </w:p>
        </w:tc>
        <w:tc>
          <w:tcPr>
            <w:tcW w:w="1694" w:type="dxa"/>
            <w:vAlign w:val="center"/>
          </w:tcPr>
          <w:p w14:paraId="7415E773" w14:textId="77777777" w:rsidR="00F07870" w:rsidRDefault="00000000">
            <w:r>
              <w:rPr>
                <w:sz w:val="14"/>
              </w:rPr>
              <w:t>Statutory</w:t>
            </w:r>
          </w:p>
        </w:tc>
        <w:tc>
          <w:tcPr>
            <w:tcW w:w="1694" w:type="dxa"/>
            <w:vAlign w:val="center"/>
          </w:tcPr>
          <w:p w14:paraId="075D1D65" w14:textId="77777777" w:rsidR="00F07870" w:rsidRDefault="00000000">
            <w:r>
              <w:rPr>
                <w:sz w:val="14"/>
              </w:rPr>
              <w:t>Yes</w:t>
            </w:r>
          </w:p>
        </w:tc>
      </w:tr>
      <w:tr w:rsidR="00F07870" w14:paraId="3763D715" w14:textId="77777777">
        <w:trPr>
          <w:jc w:val="center"/>
        </w:trPr>
        <w:tc>
          <w:tcPr>
            <w:tcW w:w="1694" w:type="dxa"/>
            <w:shd w:val="clear" w:color="auto" w:fill="EDF1F3"/>
            <w:vAlign w:val="center"/>
          </w:tcPr>
          <w:p w14:paraId="3CD264D0" w14:textId="77777777" w:rsidR="00F07870" w:rsidRDefault="00000000">
            <w:r>
              <w:rPr>
                <w:sz w:val="14"/>
              </w:rPr>
              <w:t>Authorised recycler use</w:t>
            </w:r>
          </w:p>
        </w:tc>
        <w:tc>
          <w:tcPr>
            <w:tcW w:w="1694" w:type="dxa"/>
            <w:shd w:val="clear" w:color="auto" w:fill="EDF1F3"/>
            <w:vAlign w:val="center"/>
          </w:tcPr>
          <w:p w14:paraId="6E726670" w14:textId="77777777" w:rsidR="00F07870" w:rsidRDefault="00000000">
            <w:r>
              <w:rPr>
                <w:sz w:val="14"/>
              </w:rPr>
              <w:t>Yes</w:t>
            </w:r>
          </w:p>
        </w:tc>
        <w:tc>
          <w:tcPr>
            <w:tcW w:w="1694" w:type="dxa"/>
            <w:shd w:val="clear" w:color="auto" w:fill="EDF1F3"/>
            <w:vAlign w:val="center"/>
          </w:tcPr>
          <w:p w14:paraId="35D0BF97" w14:textId="77777777" w:rsidR="00F07870" w:rsidRDefault="00000000">
            <w:r>
              <w:rPr>
                <w:sz w:val="14"/>
              </w:rPr>
              <w:t>CPCB-authorised</w:t>
            </w:r>
          </w:p>
        </w:tc>
        <w:tc>
          <w:tcPr>
            <w:tcW w:w="1694" w:type="dxa"/>
            <w:shd w:val="clear" w:color="auto" w:fill="EDF1F3"/>
            <w:vAlign w:val="center"/>
          </w:tcPr>
          <w:p w14:paraId="2452C2B9" w14:textId="77777777" w:rsidR="00F07870" w:rsidRDefault="00000000">
            <w:r>
              <w:rPr>
                <w:sz w:val="14"/>
              </w:rPr>
              <w:t>HSPCB-registered</w:t>
            </w:r>
          </w:p>
        </w:tc>
        <w:tc>
          <w:tcPr>
            <w:tcW w:w="1694" w:type="dxa"/>
            <w:shd w:val="clear" w:color="auto" w:fill="EDF1F3"/>
            <w:vAlign w:val="center"/>
          </w:tcPr>
          <w:p w14:paraId="1604F5E5" w14:textId="77777777" w:rsidR="00F07870" w:rsidRDefault="00000000">
            <w:r>
              <w:rPr>
                <w:sz w:val="14"/>
              </w:rPr>
              <w:t>Approved recycler</w:t>
            </w:r>
          </w:p>
        </w:tc>
        <w:tc>
          <w:tcPr>
            <w:tcW w:w="1694" w:type="dxa"/>
            <w:shd w:val="clear" w:color="auto" w:fill="EDF1F3"/>
            <w:vAlign w:val="center"/>
          </w:tcPr>
          <w:p w14:paraId="575A1EFE" w14:textId="77777777" w:rsidR="00F07870" w:rsidRDefault="00000000">
            <w:r>
              <w:rPr>
                <w:sz w:val="14"/>
              </w:rPr>
              <w:t>Authorised dismantler</w:t>
            </w:r>
          </w:p>
        </w:tc>
      </w:tr>
      <w:tr w:rsidR="00F07870" w14:paraId="2A8B04A3" w14:textId="77777777">
        <w:trPr>
          <w:jc w:val="center"/>
        </w:trPr>
        <w:tc>
          <w:tcPr>
            <w:tcW w:w="1694" w:type="dxa"/>
            <w:vAlign w:val="center"/>
          </w:tcPr>
          <w:p w14:paraId="0C3F0E2F" w14:textId="77777777" w:rsidR="00F07870" w:rsidRDefault="00000000">
            <w:r>
              <w:rPr>
                <w:sz w:val="14"/>
              </w:rPr>
              <w:t>3R / Reduce-Reuse-Recycle</w:t>
            </w:r>
          </w:p>
        </w:tc>
        <w:tc>
          <w:tcPr>
            <w:tcW w:w="1694" w:type="dxa"/>
            <w:vAlign w:val="center"/>
          </w:tcPr>
          <w:p w14:paraId="6A0FD479" w14:textId="77777777" w:rsidR="00F07870" w:rsidRDefault="00000000">
            <w:r>
              <w:rPr>
                <w:sz w:val="14"/>
              </w:rPr>
              <w:t>Yes</w:t>
            </w:r>
          </w:p>
        </w:tc>
        <w:tc>
          <w:tcPr>
            <w:tcW w:w="1694" w:type="dxa"/>
            <w:vAlign w:val="center"/>
          </w:tcPr>
          <w:p w14:paraId="7C571705" w14:textId="77777777" w:rsidR="00F07870" w:rsidRDefault="00000000">
            <w:r>
              <w:rPr>
                <w:sz w:val="14"/>
              </w:rPr>
              <w:t>Yes</w:t>
            </w:r>
          </w:p>
        </w:tc>
        <w:tc>
          <w:tcPr>
            <w:tcW w:w="1694" w:type="dxa"/>
            <w:vAlign w:val="center"/>
          </w:tcPr>
          <w:p w14:paraId="341B1EB1" w14:textId="77777777" w:rsidR="00F07870" w:rsidRDefault="00000000">
            <w:r>
              <w:rPr>
                <w:sz w:val="14"/>
              </w:rPr>
              <w:t>Implied</w:t>
            </w:r>
          </w:p>
        </w:tc>
        <w:tc>
          <w:tcPr>
            <w:tcW w:w="1694" w:type="dxa"/>
            <w:vAlign w:val="center"/>
          </w:tcPr>
          <w:p w14:paraId="0F753A28" w14:textId="77777777" w:rsidR="00F07870" w:rsidRDefault="00000000">
            <w:r>
              <w:rPr>
                <w:sz w:val="14"/>
              </w:rPr>
              <w:t>Yes (Recover)</w:t>
            </w:r>
          </w:p>
        </w:tc>
        <w:tc>
          <w:tcPr>
            <w:tcW w:w="1694" w:type="dxa"/>
            <w:vAlign w:val="center"/>
          </w:tcPr>
          <w:p w14:paraId="1F44B972" w14:textId="77777777" w:rsidR="00F07870" w:rsidRDefault="00000000">
            <w:r>
              <w:rPr>
                <w:sz w:val="14"/>
              </w:rPr>
              <w:t>Implied</w:t>
            </w:r>
          </w:p>
        </w:tc>
      </w:tr>
      <w:tr w:rsidR="00F07870" w14:paraId="4A029332" w14:textId="77777777">
        <w:trPr>
          <w:jc w:val="center"/>
        </w:trPr>
        <w:tc>
          <w:tcPr>
            <w:tcW w:w="1694" w:type="dxa"/>
            <w:shd w:val="clear" w:color="auto" w:fill="EDF1F3"/>
            <w:vAlign w:val="center"/>
          </w:tcPr>
          <w:p w14:paraId="323D99DD" w14:textId="77777777" w:rsidR="00F07870" w:rsidRDefault="00000000">
            <w:r>
              <w:rPr>
                <w:sz w:val="14"/>
              </w:rPr>
              <w:t>RoHS / hazardous control</w:t>
            </w:r>
          </w:p>
        </w:tc>
        <w:tc>
          <w:tcPr>
            <w:tcW w:w="1694" w:type="dxa"/>
            <w:shd w:val="clear" w:color="auto" w:fill="EDF1F3"/>
            <w:vAlign w:val="center"/>
          </w:tcPr>
          <w:p w14:paraId="0044730E" w14:textId="77777777" w:rsidR="00F07870" w:rsidRDefault="00000000">
            <w:r>
              <w:rPr>
                <w:sz w:val="14"/>
              </w:rPr>
              <w:t>Yes: Pb, Hg, Cd, Cr6+, PBB, PBDE</w:t>
            </w:r>
          </w:p>
        </w:tc>
        <w:tc>
          <w:tcPr>
            <w:tcW w:w="1694" w:type="dxa"/>
            <w:shd w:val="clear" w:color="auto" w:fill="EDF1F3"/>
            <w:vAlign w:val="center"/>
          </w:tcPr>
          <w:p w14:paraId="5CFE834D" w14:textId="77777777" w:rsidR="00F07870" w:rsidRDefault="00000000">
            <w:r>
              <w:rPr>
                <w:sz w:val="14"/>
              </w:rPr>
              <w:t>Not explicitly stated</w:t>
            </w:r>
          </w:p>
        </w:tc>
        <w:tc>
          <w:tcPr>
            <w:tcW w:w="1694" w:type="dxa"/>
            <w:shd w:val="clear" w:color="auto" w:fill="EDF1F3"/>
            <w:vAlign w:val="center"/>
          </w:tcPr>
          <w:p w14:paraId="2B00090D" w14:textId="77777777" w:rsidR="00F07870" w:rsidRDefault="00000000">
            <w:r>
              <w:rPr>
                <w:sz w:val="14"/>
              </w:rPr>
              <w:t>Not explicitly stated</w:t>
            </w:r>
          </w:p>
        </w:tc>
        <w:tc>
          <w:tcPr>
            <w:tcW w:w="1694" w:type="dxa"/>
            <w:shd w:val="clear" w:color="auto" w:fill="EDF1F3"/>
            <w:vAlign w:val="center"/>
          </w:tcPr>
          <w:p w14:paraId="3B68050D" w14:textId="77777777" w:rsidR="00F07870" w:rsidRDefault="00000000">
            <w:r>
              <w:rPr>
                <w:sz w:val="14"/>
              </w:rPr>
              <w:t>Hazardous-waste protocols</w:t>
            </w:r>
          </w:p>
        </w:tc>
        <w:tc>
          <w:tcPr>
            <w:tcW w:w="1694" w:type="dxa"/>
            <w:shd w:val="clear" w:color="auto" w:fill="EDF1F3"/>
            <w:vAlign w:val="center"/>
          </w:tcPr>
          <w:p w14:paraId="20968896" w14:textId="77777777" w:rsidR="00F07870" w:rsidRDefault="00000000">
            <w:r>
              <w:rPr>
                <w:sz w:val="14"/>
              </w:rPr>
              <w:t>Environmental protection</w:t>
            </w:r>
          </w:p>
        </w:tc>
      </w:tr>
      <w:tr w:rsidR="00F07870" w14:paraId="132A0499" w14:textId="77777777">
        <w:trPr>
          <w:jc w:val="center"/>
        </w:trPr>
        <w:tc>
          <w:tcPr>
            <w:tcW w:w="1694" w:type="dxa"/>
            <w:vAlign w:val="center"/>
          </w:tcPr>
          <w:p w14:paraId="5FD5C18D" w14:textId="77777777" w:rsidR="00F07870" w:rsidRDefault="00000000">
            <w:r>
              <w:rPr>
                <w:sz w:val="14"/>
              </w:rPr>
              <w:t>Source segregation</w:t>
            </w:r>
          </w:p>
        </w:tc>
        <w:tc>
          <w:tcPr>
            <w:tcW w:w="1694" w:type="dxa"/>
            <w:vAlign w:val="center"/>
          </w:tcPr>
          <w:p w14:paraId="266F16A4" w14:textId="77777777" w:rsidR="00F07870" w:rsidRDefault="00000000">
            <w:r>
              <w:rPr>
                <w:sz w:val="14"/>
              </w:rPr>
              <w:t>Yes</w:t>
            </w:r>
          </w:p>
        </w:tc>
        <w:tc>
          <w:tcPr>
            <w:tcW w:w="1694" w:type="dxa"/>
            <w:vAlign w:val="center"/>
          </w:tcPr>
          <w:p w14:paraId="0EC451F2" w14:textId="77777777" w:rsidR="00F07870" w:rsidRDefault="00000000">
            <w:r>
              <w:rPr>
                <w:sz w:val="14"/>
              </w:rPr>
              <w:t>Yes</w:t>
            </w:r>
          </w:p>
        </w:tc>
        <w:tc>
          <w:tcPr>
            <w:tcW w:w="1694" w:type="dxa"/>
            <w:vAlign w:val="center"/>
          </w:tcPr>
          <w:p w14:paraId="1C886584" w14:textId="77777777" w:rsidR="00F07870" w:rsidRDefault="00000000">
            <w:r>
              <w:rPr>
                <w:sz w:val="14"/>
              </w:rPr>
              <w:t>Yes</w:t>
            </w:r>
          </w:p>
        </w:tc>
        <w:tc>
          <w:tcPr>
            <w:tcW w:w="1694" w:type="dxa"/>
            <w:vAlign w:val="center"/>
          </w:tcPr>
          <w:p w14:paraId="37AB4010" w14:textId="77777777" w:rsidR="00F07870" w:rsidRDefault="00000000">
            <w:r>
              <w:rPr>
                <w:sz w:val="14"/>
              </w:rPr>
              <w:t>Yes</w:t>
            </w:r>
          </w:p>
        </w:tc>
        <w:tc>
          <w:tcPr>
            <w:tcW w:w="1694" w:type="dxa"/>
            <w:vAlign w:val="center"/>
          </w:tcPr>
          <w:p w14:paraId="3FC567C0" w14:textId="77777777" w:rsidR="00F07870" w:rsidRDefault="00000000">
            <w:r>
              <w:rPr>
                <w:sz w:val="14"/>
              </w:rPr>
              <w:t>Yes</w:t>
            </w:r>
          </w:p>
        </w:tc>
      </w:tr>
      <w:tr w:rsidR="00F07870" w14:paraId="6B419AF1" w14:textId="77777777">
        <w:trPr>
          <w:jc w:val="center"/>
        </w:trPr>
        <w:tc>
          <w:tcPr>
            <w:tcW w:w="1694" w:type="dxa"/>
            <w:shd w:val="clear" w:color="auto" w:fill="EDF1F3"/>
            <w:vAlign w:val="center"/>
          </w:tcPr>
          <w:p w14:paraId="4DFF1EDF" w14:textId="77777777" w:rsidR="00F07870" w:rsidRDefault="00000000">
            <w:r>
              <w:rPr>
                <w:sz w:val="14"/>
              </w:rPr>
              <w:t>Zero Waste to Landfill</w:t>
            </w:r>
          </w:p>
        </w:tc>
        <w:tc>
          <w:tcPr>
            <w:tcW w:w="1694" w:type="dxa"/>
            <w:shd w:val="clear" w:color="auto" w:fill="EDF1F3"/>
            <w:vAlign w:val="center"/>
          </w:tcPr>
          <w:p w14:paraId="4F50412E" w14:textId="77777777" w:rsidR="00F07870" w:rsidRDefault="00000000">
            <w:r>
              <w:rPr>
                <w:sz w:val="14"/>
              </w:rPr>
              <w:t>Yes</w:t>
            </w:r>
          </w:p>
        </w:tc>
        <w:tc>
          <w:tcPr>
            <w:tcW w:w="1694" w:type="dxa"/>
            <w:shd w:val="clear" w:color="auto" w:fill="EDF1F3"/>
            <w:vAlign w:val="center"/>
          </w:tcPr>
          <w:p w14:paraId="54E15854" w14:textId="77777777" w:rsidR="00F07870" w:rsidRDefault="00000000">
            <w:r>
              <w:rPr>
                <w:sz w:val="14"/>
              </w:rPr>
              <w:t>Not stated</w:t>
            </w:r>
          </w:p>
        </w:tc>
        <w:tc>
          <w:tcPr>
            <w:tcW w:w="1694" w:type="dxa"/>
            <w:shd w:val="clear" w:color="auto" w:fill="EDF1F3"/>
            <w:vAlign w:val="center"/>
          </w:tcPr>
          <w:p w14:paraId="64066774" w14:textId="77777777" w:rsidR="00F07870" w:rsidRDefault="00000000">
            <w:r>
              <w:rPr>
                <w:sz w:val="14"/>
              </w:rPr>
              <w:t>Not stated</w:t>
            </w:r>
          </w:p>
        </w:tc>
        <w:tc>
          <w:tcPr>
            <w:tcW w:w="1694" w:type="dxa"/>
            <w:shd w:val="clear" w:color="auto" w:fill="EDF1F3"/>
            <w:vAlign w:val="center"/>
          </w:tcPr>
          <w:p w14:paraId="64BBBE48" w14:textId="77777777" w:rsidR="00F07870" w:rsidRDefault="00000000">
            <w:r>
              <w:rPr>
                <w:sz w:val="14"/>
              </w:rPr>
              <w:t>Not stated</w:t>
            </w:r>
          </w:p>
        </w:tc>
        <w:tc>
          <w:tcPr>
            <w:tcW w:w="1694" w:type="dxa"/>
            <w:shd w:val="clear" w:color="auto" w:fill="EDF1F3"/>
            <w:vAlign w:val="center"/>
          </w:tcPr>
          <w:p w14:paraId="117FB4A3" w14:textId="77777777" w:rsidR="00F07870" w:rsidRDefault="00000000">
            <w:r>
              <w:rPr>
                <w:sz w:val="14"/>
              </w:rPr>
              <w:t>No landfill / municipal waste</w:t>
            </w:r>
          </w:p>
        </w:tc>
      </w:tr>
      <w:tr w:rsidR="00F07870" w14:paraId="6D588FFE" w14:textId="77777777">
        <w:trPr>
          <w:jc w:val="center"/>
        </w:trPr>
        <w:tc>
          <w:tcPr>
            <w:tcW w:w="1694" w:type="dxa"/>
            <w:vAlign w:val="center"/>
          </w:tcPr>
          <w:p w14:paraId="4EE20590" w14:textId="77777777" w:rsidR="00F07870" w:rsidRDefault="00000000">
            <w:r>
              <w:rPr>
                <w:sz w:val="14"/>
              </w:rPr>
              <w:t>ISO 14001 EMS</w:t>
            </w:r>
          </w:p>
        </w:tc>
        <w:tc>
          <w:tcPr>
            <w:tcW w:w="1694" w:type="dxa"/>
            <w:vAlign w:val="center"/>
          </w:tcPr>
          <w:p w14:paraId="4FFC4273" w14:textId="77777777" w:rsidR="00F07870" w:rsidRDefault="00000000">
            <w:r>
              <w:rPr>
                <w:sz w:val="14"/>
              </w:rPr>
              <w:t>Not stated</w:t>
            </w:r>
          </w:p>
        </w:tc>
        <w:tc>
          <w:tcPr>
            <w:tcW w:w="1694" w:type="dxa"/>
            <w:vAlign w:val="center"/>
          </w:tcPr>
          <w:p w14:paraId="1B8E0727" w14:textId="77777777" w:rsidR="00F07870" w:rsidRDefault="00000000">
            <w:r>
              <w:rPr>
                <w:sz w:val="14"/>
              </w:rPr>
              <w:t>Not stated</w:t>
            </w:r>
          </w:p>
        </w:tc>
        <w:tc>
          <w:tcPr>
            <w:tcW w:w="1694" w:type="dxa"/>
            <w:vAlign w:val="center"/>
          </w:tcPr>
          <w:p w14:paraId="32B520AF" w14:textId="77777777" w:rsidR="00F07870" w:rsidRDefault="00000000">
            <w:r>
              <w:rPr>
                <w:sz w:val="14"/>
              </w:rPr>
              <w:t>Yes (2015)</w:t>
            </w:r>
          </w:p>
        </w:tc>
        <w:tc>
          <w:tcPr>
            <w:tcW w:w="1694" w:type="dxa"/>
            <w:vAlign w:val="center"/>
          </w:tcPr>
          <w:p w14:paraId="69B3B848" w14:textId="77777777" w:rsidR="00F07870" w:rsidRDefault="00000000">
            <w:r>
              <w:rPr>
                <w:sz w:val="14"/>
              </w:rPr>
              <w:t>Not stated</w:t>
            </w:r>
          </w:p>
        </w:tc>
        <w:tc>
          <w:tcPr>
            <w:tcW w:w="1694" w:type="dxa"/>
            <w:vAlign w:val="center"/>
          </w:tcPr>
          <w:p w14:paraId="2EB192C6" w14:textId="77777777" w:rsidR="00F07870" w:rsidRDefault="00000000">
            <w:r>
              <w:rPr>
                <w:sz w:val="14"/>
              </w:rPr>
              <w:t>Not stated</w:t>
            </w:r>
          </w:p>
        </w:tc>
      </w:tr>
      <w:tr w:rsidR="00F07870" w14:paraId="37DA9EB4" w14:textId="77777777">
        <w:trPr>
          <w:jc w:val="center"/>
        </w:trPr>
        <w:tc>
          <w:tcPr>
            <w:tcW w:w="1694" w:type="dxa"/>
            <w:shd w:val="clear" w:color="auto" w:fill="EDF1F3"/>
            <w:vAlign w:val="center"/>
          </w:tcPr>
          <w:p w14:paraId="7998E9D9" w14:textId="77777777" w:rsidR="00F07870" w:rsidRDefault="00000000">
            <w:r>
              <w:rPr>
                <w:sz w:val="14"/>
              </w:rPr>
              <w:t>Consumer take-back</w:t>
            </w:r>
          </w:p>
        </w:tc>
        <w:tc>
          <w:tcPr>
            <w:tcW w:w="1694" w:type="dxa"/>
            <w:shd w:val="clear" w:color="auto" w:fill="EDF1F3"/>
            <w:vAlign w:val="center"/>
          </w:tcPr>
          <w:p w14:paraId="7A501D4B" w14:textId="77777777" w:rsidR="00F07870" w:rsidRDefault="00000000">
            <w:r>
              <w:rPr>
                <w:sz w:val="14"/>
              </w:rPr>
              <w:t>Not applicable (B2B)</w:t>
            </w:r>
          </w:p>
        </w:tc>
        <w:tc>
          <w:tcPr>
            <w:tcW w:w="1694" w:type="dxa"/>
            <w:shd w:val="clear" w:color="auto" w:fill="EDF1F3"/>
            <w:vAlign w:val="center"/>
          </w:tcPr>
          <w:p w14:paraId="6E80C300" w14:textId="77777777" w:rsidR="00F07870" w:rsidRDefault="00000000">
            <w:r>
              <w:rPr>
                <w:sz w:val="14"/>
              </w:rPr>
              <w:t>Through agencies</w:t>
            </w:r>
          </w:p>
        </w:tc>
        <w:tc>
          <w:tcPr>
            <w:tcW w:w="1694" w:type="dxa"/>
            <w:shd w:val="clear" w:color="auto" w:fill="EDF1F3"/>
            <w:vAlign w:val="center"/>
          </w:tcPr>
          <w:p w14:paraId="5CC5C179" w14:textId="77777777" w:rsidR="00F07870" w:rsidRDefault="00000000">
            <w:r>
              <w:rPr>
                <w:sz w:val="14"/>
              </w:rPr>
              <w:t>PAN-India collection</w:t>
            </w:r>
          </w:p>
        </w:tc>
        <w:tc>
          <w:tcPr>
            <w:tcW w:w="1694" w:type="dxa"/>
            <w:shd w:val="clear" w:color="auto" w:fill="EDF1F3"/>
            <w:vAlign w:val="center"/>
          </w:tcPr>
          <w:p w14:paraId="299C1D25" w14:textId="77777777" w:rsidR="00F07870" w:rsidRDefault="00000000">
            <w:r>
              <w:rPr>
                <w:sz w:val="14"/>
              </w:rPr>
              <w:t>Limited (B2B/institutional)</w:t>
            </w:r>
          </w:p>
        </w:tc>
        <w:tc>
          <w:tcPr>
            <w:tcW w:w="1694" w:type="dxa"/>
            <w:shd w:val="clear" w:color="auto" w:fill="EDF1F3"/>
            <w:vAlign w:val="center"/>
          </w:tcPr>
          <w:p w14:paraId="6516D447" w14:textId="77777777" w:rsidR="00F07870" w:rsidRDefault="00000000">
            <w:r>
              <w:rPr>
                <w:sz w:val="14"/>
              </w:rPr>
              <w:t>Customer instructions</w:t>
            </w:r>
          </w:p>
        </w:tc>
      </w:tr>
      <w:tr w:rsidR="00F07870" w14:paraId="639FE3DC" w14:textId="77777777">
        <w:trPr>
          <w:jc w:val="center"/>
        </w:trPr>
        <w:tc>
          <w:tcPr>
            <w:tcW w:w="1694" w:type="dxa"/>
            <w:vAlign w:val="center"/>
          </w:tcPr>
          <w:p w14:paraId="59074358" w14:textId="77777777" w:rsidR="00F07870" w:rsidRDefault="00000000">
            <w:r>
              <w:rPr>
                <w:sz w:val="14"/>
              </w:rPr>
              <w:t>Public non-compliance identified</w:t>
            </w:r>
          </w:p>
        </w:tc>
        <w:tc>
          <w:tcPr>
            <w:tcW w:w="1694" w:type="dxa"/>
            <w:vAlign w:val="center"/>
          </w:tcPr>
          <w:p w14:paraId="06AF6CA6" w14:textId="77777777" w:rsidR="00F07870" w:rsidRDefault="00000000">
            <w:r>
              <w:rPr>
                <w:sz w:val="14"/>
              </w:rPr>
              <w:t>None</w:t>
            </w:r>
          </w:p>
        </w:tc>
        <w:tc>
          <w:tcPr>
            <w:tcW w:w="1694" w:type="dxa"/>
            <w:vAlign w:val="center"/>
          </w:tcPr>
          <w:p w14:paraId="12E7E271" w14:textId="77777777" w:rsidR="00F07870" w:rsidRDefault="00000000">
            <w:r>
              <w:rPr>
                <w:sz w:val="14"/>
              </w:rPr>
              <w:t>None</w:t>
            </w:r>
          </w:p>
        </w:tc>
        <w:tc>
          <w:tcPr>
            <w:tcW w:w="1694" w:type="dxa"/>
            <w:vAlign w:val="center"/>
          </w:tcPr>
          <w:p w14:paraId="64E6BD20" w14:textId="77777777" w:rsidR="00F07870" w:rsidRDefault="00000000">
            <w:r>
              <w:rPr>
                <w:sz w:val="14"/>
              </w:rPr>
              <w:t>None</w:t>
            </w:r>
          </w:p>
        </w:tc>
        <w:tc>
          <w:tcPr>
            <w:tcW w:w="1694" w:type="dxa"/>
            <w:vAlign w:val="center"/>
          </w:tcPr>
          <w:p w14:paraId="02F257AF" w14:textId="77777777" w:rsidR="00F07870" w:rsidRDefault="00000000">
            <w:r>
              <w:rPr>
                <w:sz w:val="14"/>
              </w:rPr>
              <w:t>None</w:t>
            </w:r>
          </w:p>
        </w:tc>
        <w:tc>
          <w:tcPr>
            <w:tcW w:w="1694" w:type="dxa"/>
            <w:vAlign w:val="center"/>
          </w:tcPr>
          <w:p w14:paraId="261A8CFF" w14:textId="77777777" w:rsidR="00F07870" w:rsidRDefault="00000000">
            <w:r>
              <w:rPr>
                <w:sz w:val="14"/>
              </w:rPr>
              <w:t>None</w:t>
            </w:r>
          </w:p>
        </w:tc>
      </w:tr>
    </w:tbl>
    <w:p w14:paraId="07F55BDF" w14:textId="77777777" w:rsidR="00F07870" w:rsidRDefault="00000000">
      <w:r>
        <w:rPr>
          <w:b/>
        </w:rPr>
        <w:t xml:space="preserve">Note: </w:t>
      </w:r>
      <w:r>
        <w:rPr>
          <w:i/>
        </w:rPr>
        <w:t>“None” means no specific violation was identified in the reviewed public disclosures; it is not an independent audit finding that every legal requirement has been fulfilled.</w:t>
      </w:r>
    </w:p>
    <w:p w14:paraId="6AD23188" w14:textId="77777777" w:rsidR="00F07870" w:rsidRDefault="00000000">
      <w:pPr>
        <w:pStyle w:val="Heading1"/>
      </w:pPr>
      <w:r>
        <w:t>FINDINGS, DISCUSSION AND RECOMMENDATIONS</w:t>
      </w:r>
    </w:p>
    <w:p w14:paraId="1CC31F1A" w14:textId="77777777" w:rsidR="00F07870" w:rsidRDefault="00000000">
      <w:pPr>
        <w:jc w:val="both"/>
      </w:pPr>
      <w:r>
        <w:t>Across the five-company sample, the source study reports a consistent formal-sector pattern: all five use authorised dismantling or recycling channels, maintain source segregation and state that they follow environmentally sound disposal practices. Dixon, Kaynes and Syrma SGS explicitly reference EPR; Sahasra holds formal EPR and e-waste authorisations; and Centum emphasises statutory environmental requirements and authorised disposal.</w:t>
      </w:r>
    </w:p>
    <w:p w14:paraId="048CE31E" w14:textId="77777777" w:rsidR="00F07870" w:rsidRDefault="00000000">
      <w:pPr>
        <w:jc w:val="both"/>
      </w:pPr>
      <w:r>
        <w:t>Distinctive practices include Dixon's Zero Waste to Landfill commitment and detailed RoHS substance controls, and Sahasra's ISO 14001:2015 certification and PAN-India collection infrastructure. A major limitation is the lack of granular public data on actual e-waste quantities collected, formally recycled and achieved against collection/recycling targets.</w:t>
      </w:r>
    </w:p>
    <w:p w14:paraId="2BF1B1FE" w14:textId="77777777" w:rsidR="00F07870" w:rsidRDefault="00000000">
      <w:r>
        <w:rPr>
          <w:b/>
        </w:rPr>
        <w:t xml:space="preserve">1. </w:t>
      </w:r>
      <w:r>
        <w:t>Mandatory quantitative disclosure: publish annual e-waste generated, collected and channelised to authorised recyclers, with progress against EPR targets.</w:t>
      </w:r>
    </w:p>
    <w:p w14:paraId="72462AAC" w14:textId="77777777" w:rsidR="00F07870" w:rsidRDefault="00000000">
      <w:r>
        <w:rPr>
          <w:b/>
        </w:rPr>
        <w:t xml:space="preserve">2. </w:t>
      </w:r>
      <w:r>
        <w:t>Strengthen B2B accountability: contract manufacturers and brand owners should coordinate and verify functional take-back and EPR systems.</w:t>
      </w:r>
    </w:p>
    <w:p w14:paraId="08DFFAAE" w14:textId="77777777" w:rsidR="00F07870" w:rsidRDefault="00000000">
      <w:r>
        <w:rPr>
          <w:b/>
        </w:rPr>
        <w:t xml:space="preserve">3. </w:t>
      </w:r>
      <w:r>
        <w:t>Integrate the informal sector through training, registration and links with authorised facilities while improving labour and environmental standards.</w:t>
      </w:r>
    </w:p>
    <w:p w14:paraId="13A091CC" w14:textId="77777777" w:rsidR="00F07870" w:rsidRDefault="00000000">
      <w:r>
        <w:rPr>
          <w:b/>
        </w:rPr>
        <w:t xml:space="preserve">4. </w:t>
      </w:r>
      <w:r>
        <w:t>Expand separate collection infrastructure and consumer incentives, including deposit-refund approaches where appropriate.</w:t>
      </w:r>
    </w:p>
    <w:p w14:paraId="1205F583" w14:textId="77777777" w:rsidR="00F07870" w:rsidRDefault="00000000">
      <w:r>
        <w:rPr>
          <w:b/>
        </w:rPr>
        <w:t xml:space="preserve">5. </w:t>
      </w:r>
      <w:r>
        <w:t>Support technology and research for hazardous-waste monitoring and cleaner recovery of valuable materials.</w:t>
      </w:r>
    </w:p>
    <w:p w14:paraId="09A85120" w14:textId="77777777" w:rsidR="00F07870" w:rsidRDefault="00000000">
      <w:r>
        <w:rPr>
          <w:b/>
        </w:rPr>
        <w:t xml:space="preserve">6. </w:t>
      </w:r>
      <w:r>
        <w:t>Improve public information on State Pollution Control Board portals, especially lists of authorised collectors and recyclers.</w:t>
      </w:r>
    </w:p>
    <w:p w14:paraId="193CE463" w14:textId="77777777" w:rsidR="00F07870" w:rsidRDefault="00000000">
      <w:pPr>
        <w:pStyle w:val="Heading1"/>
      </w:pPr>
      <w:r>
        <w:t>CONCLUSION</w:t>
      </w:r>
    </w:p>
    <w:p w14:paraId="50126070" w14:textId="77777777" w:rsidR="00F07870" w:rsidRDefault="00000000">
      <w:pPr>
        <w:jc w:val="both"/>
      </w:pPr>
      <w:r>
        <w:t>The five companies examined - Dixon Technologies, Kaynes Technology, Sahasra Electronics, Centum Electronics and Syrma SGS Technology - illustrate that formal electronics manufacturers can institutionalise important elements of e-waste management, including source segregation, authorised recycling, EPR-related practices and environmentally sound disposal. Selected companies also report Zero Waste to Landfill, RoHS controls or ISO 14001 certification.</w:t>
      </w:r>
    </w:p>
    <w:p w14:paraId="6C0A848C" w14:textId="77777777" w:rsidR="00F07870" w:rsidRDefault="00000000">
      <w:pPr>
        <w:jc w:val="both"/>
      </w:pPr>
      <w:r>
        <w:t xml:space="preserve">At the same time, corporate practices alone cannot resolve India's broader e-waste challenge. The source study highlights limited quantitative disclosure, continued informal-sector activity and the separation between contract </w:t>
      </w:r>
      <w:r>
        <w:lastRenderedPageBreak/>
        <w:t>manufacturing and brand-owner take-back responsibilities. Stronger monitoring, public reporting, formal integration and awareness are therefore important complements to company-level compliance.</w:t>
      </w:r>
    </w:p>
    <w:p w14:paraId="6A8BE339" w14:textId="77777777" w:rsidR="00F07870" w:rsidRDefault="00000000">
      <w:pPr>
        <w:pStyle w:val="Heading1"/>
      </w:pPr>
      <w:r>
        <w:t>REFERENCES</w:t>
      </w:r>
    </w:p>
    <w:p w14:paraId="1398DEFF" w14:textId="77777777" w:rsidR="00F07870" w:rsidRDefault="00000000">
      <w:pPr>
        <w:ind w:left="259" w:hanging="259"/>
      </w:pPr>
      <w:r>
        <w:t>1. Ministry of Environment, Forest and Climate Change, Government of India. E-Waste (Management) Rules, 2016 and subsequent amendments.</w:t>
      </w:r>
    </w:p>
    <w:p w14:paraId="6AAF9594" w14:textId="77777777" w:rsidR="00F07870" w:rsidRDefault="00000000">
      <w:pPr>
        <w:ind w:left="259" w:hanging="259"/>
      </w:pPr>
      <w:r>
        <w:t>2. Ministry of Environment, Forest and Climate Change. Hazardous and Other Wastes (Management and Transboundary Movement) Rules, 2016.</w:t>
      </w:r>
    </w:p>
    <w:p w14:paraId="6D0A50C4" w14:textId="77777777" w:rsidR="00F07870" w:rsidRDefault="00000000">
      <w:pPr>
        <w:ind w:left="259" w:hanging="259"/>
      </w:pPr>
      <w:r>
        <w:t>3. Central Pollution Control Board. Guidelines on Extended Producer Responsibility for E-Waste.</w:t>
      </w:r>
    </w:p>
    <w:p w14:paraId="3FC94EAA" w14:textId="77777777" w:rsidR="00F07870" w:rsidRDefault="00000000">
      <w:pPr>
        <w:ind w:left="259" w:hanging="259"/>
      </w:pPr>
      <w:r>
        <w:t>4. Global E-waste Monitor 2020. United Nations University / UNITAR / ITU / ISWA.</w:t>
      </w:r>
    </w:p>
    <w:p w14:paraId="28DB931F" w14:textId="77777777" w:rsidR="00F07870" w:rsidRDefault="00000000">
      <w:pPr>
        <w:ind w:left="259" w:hanging="259"/>
      </w:pPr>
      <w:r>
        <w:t>5. Biswas, A. and Singh, S.G. (2020). E-waste Management in India: Challenges and Agenda. Centre for Science and Environment.</w:t>
      </w:r>
    </w:p>
    <w:p w14:paraId="0AA7CB0E" w14:textId="77777777" w:rsidR="00F07870" w:rsidRDefault="00000000">
      <w:pPr>
        <w:ind w:left="259" w:hanging="259"/>
      </w:pPr>
      <w:r>
        <w:t>6. Basel Convention on the Control of Transboundary Movements of Hazardous Wastes and their Disposal.</w:t>
      </w:r>
    </w:p>
    <w:p w14:paraId="622593CD" w14:textId="77777777" w:rsidR="00F07870" w:rsidRDefault="00000000">
      <w:pPr>
        <w:ind w:left="259" w:hanging="259"/>
      </w:pPr>
      <w:r>
        <w:t>7. Restriction of Hazardous Substances Directive (RoHS) 2011/65/EU and RoHS 3 (Directive 2015/863).</w:t>
      </w:r>
    </w:p>
    <w:p w14:paraId="56A416C2" w14:textId="77777777" w:rsidR="00F07870" w:rsidRDefault="00000000">
      <w:pPr>
        <w:ind w:left="259" w:hanging="259"/>
      </w:pPr>
      <w:r>
        <w:t>8. Public sustainability, environmental and website disclosures of Dixon Technologies, Kaynes Technology, Sahasra Electronics, Centum Electronics and Syrma SGS Technology, as referenced in the supplied analytical study.</w:t>
      </w:r>
    </w:p>
    <w:p w14:paraId="7009F0E8" w14:textId="77777777" w:rsidR="00F07870" w:rsidRDefault="00000000">
      <w:pPr>
        <w:ind w:left="259" w:hanging="259"/>
      </w:pPr>
      <w:r>
        <w:t>9. Solving the E-waste Problem (StEP) Initiative, United Nations University / affiliated partners.</w:t>
      </w:r>
    </w:p>
    <w:sectPr w:rsidR="00F0787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91116" w14:textId="77777777" w:rsidR="00D33F05" w:rsidRDefault="00D33F05">
      <w:pPr>
        <w:spacing w:after="0" w:line="240" w:lineRule="auto"/>
      </w:pPr>
      <w:r>
        <w:separator/>
      </w:r>
    </w:p>
  </w:endnote>
  <w:endnote w:type="continuationSeparator" w:id="0">
    <w:p w14:paraId="29704A03" w14:textId="77777777" w:rsidR="00D33F05" w:rsidRDefault="00D3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B0C3" w14:textId="77777777" w:rsidR="00F07870" w:rsidRDefault="00000000">
    <w:pPr>
      <w:pStyle w:val="Footer"/>
      <w:jc w:val="center"/>
    </w:pPr>
    <w:r>
      <w:t xml:space="preserve">Analytical Study   |   Page </w:t>
    </w:r>
    <w:r>
      <w:fldChar w:fldCharType="begin"/>
    </w:r>
    <w:r>
      <w:instrText>PAGE</w:instrText>
    </w:r>
    <w:r>
      <w:fldChar w:fldCharType="separate"/>
    </w:r>
    <w:r w:rsidR="00E41C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49A2" w14:textId="77777777" w:rsidR="00D33F05" w:rsidRDefault="00D33F05">
      <w:pPr>
        <w:spacing w:after="0" w:line="240" w:lineRule="auto"/>
      </w:pPr>
      <w:r>
        <w:separator/>
      </w:r>
    </w:p>
  </w:footnote>
  <w:footnote w:type="continuationSeparator" w:id="0">
    <w:p w14:paraId="23F3BE1C" w14:textId="77777777" w:rsidR="00D33F05" w:rsidRDefault="00D33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2D81" w14:textId="77777777" w:rsidR="00F07870" w:rsidRDefault="00000000">
    <w:pPr>
      <w:pStyle w:val="Header"/>
      <w:jc w:val="center"/>
    </w:pPr>
    <w:r>
      <w:rPr>
        <w:color w:val="505050"/>
        <w:sz w:val="18"/>
      </w:rPr>
      <w:t>E-Waste Compliance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722786">
    <w:abstractNumId w:val="8"/>
  </w:num>
  <w:num w:numId="2" w16cid:durableId="1732582217">
    <w:abstractNumId w:val="6"/>
  </w:num>
  <w:num w:numId="3" w16cid:durableId="1557007760">
    <w:abstractNumId w:val="5"/>
  </w:num>
  <w:num w:numId="4" w16cid:durableId="1476988248">
    <w:abstractNumId w:val="4"/>
  </w:num>
  <w:num w:numId="5" w16cid:durableId="1684471918">
    <w:abstractNumId w:val="7"/>
  </w:num>
  <w:num w:numId="6" w16cid:durableId="2056157941">
    <w:abstractNumId w:val="3"/>
  </w:num>
  <w:num w:numId="7" w16cid:durableId="1051077811">
    <w:abstractNumId w:val="2"/>
  </w:num>
  <w:num w:numId="8" w16cid:durableId="1549562485">
    <w:abstractNumId w:val="1"/>
  </w:num>
  <w:num w:numId="9" w16cid:durableId="98555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C01E0"/>
    <w:rsid w:val="00CB0664"/>
    <w:rsid w:val="00D33F05"/>
    <w:rsid w:val="00E41C97"/>
    <w:rsid w:val="00F07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58D05"/>
  <w14:defaultImageDpi w14:val="300"/>
  <w15:docId w15:val="{EFFE395F-A94C-46AC-B76D-48BDA2CC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3D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3D5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3D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63D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C0D49C-8CC2-460D-B271-12E049B5A20D}"/>
</file>

<file path=customXml/itemProps3.xml><?xml version="1.0" encoding="utf-8"?>
<ds:datastoreItem xmlns:ds="http://schemas.openxmlformats.org/officeDocument/2006/customXml" ds:itemID="{34463BCA-D5ED-4A53-8F8E-EC9F813751D8}"/>
</file>

<file path=customXml/itemProps4.xml><?xml version="1.0" encoding="utf-8"?>
<ds:datastoreItem xmlns:ds="http://schemas.openxmlformats.org/officeDocument/2006/customXml" ds:itemID="{EBB5C587-403D-4F63-A4C1-7B2C14D1E2AE}"/>
</file>

<file path=docProps/app.xml><?xml version="1.0" encoding="utf-8"?>
<Properties xmlns="http://schemas.openxmlformats.org/officeDocument/2006/extended-properties" xmlns:vt="http://schemas.openxmlformats.org/officeDocument/2006/docPropsVTypes">
  <Template>Normal</Template>
  <TotalTime>1</TotalTime>
  <Pages>4</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Laxmi Bonde</cp:lastModifiedBy>
  <cp:revision>2</cp:revision>
  <dcterms:created xsi:type="dcterms:W3CDTF">2013-12-23T23:15:00Z</dcterms:created>
  <dcterms:modified xsi:type="dcterms:W3CDTF">2026-09-29T07:30:00Z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