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ind w:firstLine="0"/>
        <w:jc w:val="center"/>
      </w:pPr>
      <w:r>
        <w:rPr>
          <w:rFonts w:ascii="Times New Roman" w:cs="Times New Roman" w:eastAsia="Times New Roman" w:hAnsi="Times New Roman"/>
          <w:b w:val="false"/>
          <w:bCs w:val="false"/>
          <w:caps w:val="false"/>
          <w:sz w:val="48"/>
          <w:szCs w:val="48"/>
        </w:rPr>
        <w:t xml:space="preserve">Comparative Study of Classical, Machine Learning, and Deep Learning Methods for Wheat Crop Segmentation</w:t>
      </w:r>
    </w:p>
    <w:p>
      <w:pPr>
        <w:spacing w:after="40" w:before="360"/>
        <w:ind w:firstLine="0"/>
        <w:jc w:val="center"/>
      </w:pPr>
      <w:r>
        <w:rPr>
          <w:rFonts w:ascii="Times New Roman" w:cs="Times New Roman" w:eastAsia="Times New Roman" w:hAnsi="Times New Roman"/>
          <w:b w:val="false"/>
          <w:bCs w:val="false"/>
          <w:caps w:val="false"/>
          <w:sz w:val="22"/>
          <w:szCs w:val="22"/>
        </w:rPr>
        <w:t xml:space="preserve">COMP9517 Group Project Team</w:t>
      </w:r>
    </w:p>
    <w:p>
      <w:pPr>
        <w:spacing w:after="40" w:before="0"/>
        <w:ind w:firstLine="0"/>
        <w:jc w:val="center"/>
      </w:pPr>
      <w:r>
        <w:rPr>
          <w:rFonts w:ascii="Times New Roman" w:cs="Times New Roman" w:eastAsia="Times New Roman" w:hAnsi="Times New Roman"/>
          <w:b w:val="false"/>
          <w:bCs w:val="false"/>
          <w:caps w:val="false"/>
          <w:sz w:val="20"/>
          <w:szCs w:val="20"/>
        </w:rPr>
        <w:t xml:space="preserve">School of Computer Science and Engineering, UNSW Sydney</w:t>
      </w:r>
    </w:p>
    <w:p>
      <w:pPr>
        <w:spacing w:after="240" w:before="0"/>
        <w:ind w:firstLine="0"/>
        <w:jc w:val="center"/>
      </w:pPr>
      <w:r>
        <w:rPr>
          <w:rFonts w:ascii="Times New Roman" w:cs="Times New Roman" w:eastAsia="Times New Roman" w:hAnsi="Times New Roman"/>
          <w:b w:val="false"/>
          <w:bCs w:val="false"/>
          <w:caps w:val="false"/>
          <w:sz w:val="20"/>
          <w:szCs w:val="20"/>
        </w:rPr>
        <w:t xml:space="preserve">Sydney, NSW 2052, Australia</w:t>
      </w:r>
    </w:p>
    <w:p>
      <w:pPr>
        <w:spacing w:after="200" w:before="0" w:line="240" w:lineRule="auto"/>
        <w:ind w:firstLine="272"/>
        <w:jc w:val="both"/>
      </w:pPr>
      <w:r>
        <w:rPr>
          <w:rFonts w:ascii="Times New Roman" w:cs="Times New Roman" w:eastAsia="Times New Roman" w:hAnsi="Times New Roman"/>
          <w:b/>
          <w:bCs/>
          <w:caps w:val="false"/>
          <w:sz w:val="18"/>
          <w:szCs w:val="18"/>
        </w:rPr>
        <w:t xml:space="preserve">Abstract</w:t>
      </w:r>
      <w:r>
        <w:rPr>
          <w:rFonts w:ascii="Times New Roman" w:cs="Times New Roman" w:eastAsia="Times New Roman" w:hAnsi="Times New Roman"/>
          <w:b w:val="false"/>
          <w:bCs w:val="false"/>
          <w:caps w:val="false"/>
          <w:sz w:val="18"/>
          <w:szCs w:val="18"/>
        </w:rPr>
        <w:t xml:space="preserve">—This paper presents a comparative study of three computer vision methods for wheat crop segmentation using the Eschikon Wheat Segmentation (EWS) dataset, which contains 190 RGB images of 350×350 pixels with manual binary annotations. The three methods represent fundamentally different paradigms: (1) a classical image processing approach based on Excess Green vegetation indices with Watershed segmentation, (2) a machine learning approach using 28-dimensional handcrafted pixel features with a Random Forest classifier, and (3) a deep learning approach using a lightweight U-Net architecture with data augmentation. Experiments on the held-out test set yield IoU scores of 0.415, 0.850, and 0.874 respectively. Additional analysis reveals that the classical method suffers a critical seasonal failure (IoU drops from 0.81 in early spring to 0.23 by late spring as wheat matures from green to golden-yellow), while U-Net demonstrates superior robustness to image distortions. Both learning-based methods achieve near-peak performance with as few as 35 training images.</w:t>
      </w:r>
    </w:p>
    <w:p>
      <w:pPr>
        <w:spacing w:after="120" w:before="0"/>
        <w:ind w:firstLine="274"/>
        <w:jc w:val="both"/>
      </w:pPr>
      <w:r>
        <w:rPr>
          <w:rFonts w:ascii="Times New Roman" w:cs="Times New Roman" w:eastAsia="Times New Roman" w:hAnsi="Times New Roman"/>
          <w:b/>
          <w:bCs/>
          <w:caps w:val="false"/>
          <w:sz w:val="18"/>
          <w:szCs w:val="18"/>
        </w:rPr>
        <w:t xml:space="preserve">Keywords</w:t>
      </w:r>
      <w:r>
        <w:rPr>
          <w:rFonts w:ascii="Times New Roman" w:cs="Times New Roman" w:eastAsia="Times New Roman" w:hAnsi="Times New Roman"/>
          <w:b w:val="false"/>
          <w:bCs w:val="false"/>
          <w:caps w:val="false"/>
          <w:sz w:val="18"/>
          <w:szCs w:val="18"/>
        </w:rPr>
        <w:t xml:space="preserve">—wheat segmentation; image processing; random forest; U-Net; deep learning; robustness; data efficiency; precision agriculture</w:t>
      </w:r>
    </w:p>
    <w:p>
      <w:pPr>
        <w:sectPr>
          <w:footerReference w:type="default" r:id="rId7"/>
          <w:pgSz w:w="11906" w:h="16838" w:orient="portrait"/>
          <w:pgMar w:top="540" w:right="893" w:bottom="1440" w:left="893" w:header="720" w:footer="720" w:gutter="0"/>
          <w:pgNumType/>
          <w:docGrid w:linePitch="360"/>
        </w:sectPr>
      </w:pPr>
    </w:p>
    <w:p>
      <w:pPr>
        <w:spacing w:after="80" w:before="160"/>
        <w:ind w:firstLine="0"/>
        <w:jc w:val="center"/>
      </w:pPr>
      <w:r>
        <w:rPr>
          <w:rFonts w:ascii="Times New Roman" w:cs="Times New Roman" w:eastAsia="Times New Roman" w:hAnsi="Times New Roman"/>
          <w:b w:val="false"/>
          <w:bCs w:val="false"/>
          <w:caps/>
          <w:sz w:val="20"/>
          <w:szCs w:val="20"/>
        </w:rPr>
        <w:t xml:space="preserve">I. Introduction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Reliable automated segmentation of crop plants in field images is a fundamental challenge in precision agriculture. Accurate pixel-level delineation of wheat from background soil supports downstream tasks such as biomass estimation, growth monitoring, disease detection, and yield forecasting.</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Classical computer vision methods exploit handcrafted colour cues such as the Excess Green index (ExG), which works well when crops are green but fails as plants mature and change colour. Machine learning methods with carefully engineered features offer improved generalisation, while deep learning architectures such as U-Net [1] learn hierarchical representations that adapt across growth stages.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This study develops and evaluates three contrasting methods on the EWS dataset [2], a public benchmark of 190 RGB wheat field images collected across a full growing season. We evaluate all methods on standard metrics (IoU, F1, Precision, Recall, Pixel Accuracy) and conduct additional robustness and data-efficiency experiments motivated by real-world deployment considerations.</w:t>
      </w:r>
    </w:p>
    <w:p>
      <w:pPr>
        <w:spacing w:after="80" w:before="160"/>
        <w:ind w:firstLine="0"/>
        <w:jc w:val="center"/>
      </w:pPr>
      <w:r>
        <w:rPr>
          <w:rFonts w:ascii="Times New Roman" w:cs="Times New Roman" w:eastAsia="Times New Roman" w:hAnsi="Times New Roman"/>
          <w:b w:val="false"/>
          <w:bCs w:val="false"/>
          <w:caps/>
          <w:sz w:val="20"/>
          <w:szCs w:val="20"/>
        </w:rPr>
        <w:t xml:space="preserve">II. Literature Review</w:t>
      </w:r>
    </w:p>
    <w:p>
      <w:pPr>
        <w:spacing w:after="60" w:before="120"/>
        <w:ind w:firstLine="0"/>
      </w:pPr>
      <w:r>
        <w:rPr>
          <w:rFonts w:ascii="Times New Roman" w:cs="Times New Roman" w:eastAsia="Times New Roman" w:hAnsi="Times New Roman"/>
          <w:b w:val="false"/>
          <w:bCs w:val="false"/>
          <w:caps w:val="false"/>
          <w:sz w:val="20"/>
          <w:szCs w:val="20"/>
        </w:rPr>
        <w:t xml:space="preserve">A. Classical Segmentation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Watershed segmentation treats image gradients as a topographic surface and floods regions from seed markers [3]. Applied to vegetation imagery, seed selection based on vegetation indices such as ExG = 2G − R − B [4] provides an unsupervised approach requiring no labelled data. GrabCut [5] extends this paradigm by iteratively refining foreground and background Gaussian mixture models from a user-provided or automatically generated initialisation.</w:t>
      </w:r>
    </w:p>
    <w:p>
      <w:pPr>
        <w:spacing w:after="60" w:before="120"/>
        <w:ind w:firstLine="0"/>
      </w:pPr>
      <w:r>
        <w:rPr>
          <w:rFonts w:ascii="Times New Roman" w:cs="Times New Roman" w:eastAsia="Times New Roman" w:hAnsi="Times New Roman"/>
          <w:b w:val="false"/>
          <w:bCs w:val="false"/>
          <w:caps w:val="false"/>
          <w:sz w:val="20"/>
          <w:szCs w:val="20"/>
        </w:rPr>
        <w:t xml:space="preserve">B. Machine Learning Methods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Pixel-wise classification using handcrafted features has been widely applied to plant segmentation. Features combining colour spaces (RGB, HSV), vegetation indices (ExG, ExGR), and local texture statistics from sliding windows provide rich per-pixel descriptors [2]. Random Forests [6] are a natural classifier choice: they handle high-dimensional inputs, are robust to noise, and produce calibrated probability outputs suitable for threshold tuning.</w:t>
      </w:r>
    </w:p>
    <w:p>
      <w:pPr>
        <w:spacing w:after="60" w:before="120"/>
        <w:ind w:firstLine="0"/>
      </w:pPr>
      <w:r>
        <w:rPr>
          <w:rFonts w:ascii="Times New Roman" w:cs="Times New Roman" w:eastAsia="Times New Roman" w:hAnsi="Times New Roman"/>
          <w:b w:val="false"/>
          <w:bCs w:val="false"/>
          <w:caps w:val="false"/>
          <w:sz w:val="20"/>
          <w:szCs w:val="20"/>
        </w:rPr>
        <w:t xml:space="preserve">C. Deep Learning Methods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U-Net [1], originally proposed for biomedical image segmentation, has become the standard encoder-decoder architecture for dense prediction. Its skip connections preserve fine spatial detail while the bottleneck encodes semantic context. Zenkl et al. [2] applied deep learning to EWS and reported IoU values of 0.85–0.95 for their best models. More recent work by Cao et al. [7] and Zhang et al. [8] demonstrates the effectiveness of depth-informed and foundation-model approaches for crop segmentation.</w:t>
      </w:r>
    </w:p>
    <w:p>
      <w:pPr>
        <w:spacing w:after="80" w:before="160"/>
        <w:ind w:firstLine="0"/>
        <w:jc w:val="center"/>
      </w:pPr>
      <w:r>
        <w:rPr>
          <w:rFonts w:ascii="Times New Roman" w:cs="Times New Roman" w:eastAsia="Times New Roman" w:hAnsi="Times New Roman"/>
          <w:b w:val="false"/>
          <w:bCs w:val="false"/>
          <w:caps/>
          <w:sz w:val="20"/>
          <w:szCs w:val="20"/>
        </w:rPr>
        <w:t xml:space="preserve">III. Methods</w:t>
      </w:r>
    </w:p>
    <w:p>
      <w:pPr>
        <w:spacing w:after="60" w:before="120"/>
        <w:ind w:firstLine="0"/>
      </w:pPr>
      <w:r>
        <w:rPr>
          <w:rFonts w:ascii="Times New Roman" w:cs="Times New Roman" w:eastAsia="Times New Roman" w:hAnsi="Times New Roman"/>
          <w:b w:val="false"/>
          <w:bCs w:val="false"/>
          <w:caps w:val="false"/>
          <w:sz w:val="20"/>
          <w:szCs w:val="20"/>
        </w:rPr>
        <w:t xml:space="preserve">A. Dataset and Experimental Setup</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EWS dataset contains 190 RGB images (350×350 pixels) captured in a wheat field across an entire growing season from February to May 2017. Images are accompanied by manually annotated binary masks (wheat = 1, soil = 0). We adopt the canonical split: 142 training, 24 validation, and 24 test images. Split disjointness is verified programmatically before every experiment.</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Hyperparameters are tuned exclusively on the validation set; the test set is used only for final evaluation. All metrics (Precision, Recall, F1, IoU, and Pixel Accuracy) are computed per image and averaged. Training and inference times are recorded with wall-clock timing.</w:t>
      </w:r>
    </w:p>
    <w:p>
      <w:pPr>
        <w:spacing w:after="60" w:before="120"/>
        <w:ind w:firstLine="0"/>
      </w:pPr>
      <w:r>
        <w:rPr>
          <w:rFonts w:ascii="Times New Roman" w:cs="Times New Roman" w:eastAsia="Times New Roman" w:hAnsi="Times New Roman"/>
          <w:b w:val="false"/>
          <w:bCs w:val="false"/>
          <w:caps w:val="false"/>
          <w:sz w:val="20"/>
          <w:szCs w:val="20"/>
        </w:rPr>
        <w:t xml:space="preserve">B. Method 1: ExG-guided Watershed</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1 is a training-free classical approach. A per-pixel vegetation score is computed as a weighted combination of Excess Green (ExG), green dominance, HSV saturation, and Sobel gradient magnitude: S = 1.7·ExG + 0.9·Gₑ + 0.4·Sat − 0.15·|∇|. This score drives percentile-based seed extraction, where pixels in the top and bottom quantiles are labelled as definite foreground and background respectively.</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Seeds initialise scipy watershed_ift (Watershed variant) or OpenCV grabCut. The resulting mask is refined with morphological opening/closing and removal of small connected components. Foreground/background thresholds are tuned via validation grid search; the Watershed configuration is used for all results.</w:t>
      </w:r>
    </w:p>
    <w:p>
      <w:pPr>
        <w:spacing w:after="60" w:before="120"/>
        <w:ind w:firstLine="0"/>
      </w:pPr>
      <w:r>
        <w:rPr>
          <w:rFonts w:ascii="Times New Roman" w:cs="Times New Roman" w:eastAsia="Times New Roman" w:hAnsi="Times New Roman"/>
          <w:b w:val="false"/>
          <w:bCs w:val="false"/>
          <w:caps w:val="false"/>
          <w:sz w:val="20"/>
          <w:szCs w:val="20"/>
        </w:rPr>
        <w:t xml:space="preserve">C. Method 2: Handcrafted Features + Random Forest</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2 extracts a 28-dimensional feature vector per pixel: raw RGB and HSV (6), chromaticity normalisation (3), local RGB/HSV means over a 9×9 window (6), vegetation indices ExG, ExR, ExGR (3), local ExG statistics (2), greyscale intensity and local statistics (3), and Sobel/ExG gradient magnitudes (2). A RandomForestClassifier (250 trees, max depth 20) is trained on balanced pixel samples. The classification probability threshold is tuned on the validation set to maximise IoU.</w:t>
      </w:r>
    </w:p>
    <w:p>
      <w:pPr>
        <w:spacing w:after="60" w:before="120"/>
        <w:ind w:firstLine="0"/>
      </w:pPr>
      <w:r>
        <w:rPr>
          <w:rFonts w:ascii="Times New Roman" w:cs="Times New Roman" w:eastAsia="Times New Roman" w:hAnsi="Times New Roman"/>
          <w:b w:val="false"/>
          <w:bCs w:val="false"/>
          <w:caps w:val="false"/>
          <w:sz w:val="20"/>
          <w:szCs w:val="20"/>
        </w:rPr>
        <w:t xml:space="preserve">D. Method 3: Lightweight U-Net</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3 uses a lightweight U-Net with base channel width 16. The encoder applies three double-convolution blocks (Conv–BN–ReLU×2) with 2×2 max pooling, producing feature maps at 16, 32, and 64 channels. A 128-channel bottleneck is followed by a symmetric decoder with bilinear upsampling and skip connections, ending in a 1×1 convolution and sigmoid activation. Training minimises Dice loss + BCE with Adam (lr = 0.001, batch size 4, 20 epochs). Data augmentation includes random flips, brightness/contrast jitter (±10%), and Gaussian noise (σ = 3, 30% probability). The checkpoint with highest validation IoU is retained.</w:t>
      </w:r>
    </w:p>
    <w:p>
      <w:pPr>
        <w:spacing w:after="80" w:before="160"/>
        <w:ind w:firstLine="0"/>
        <w:jc w:val="center"/>
      </w:pPr>
      <w:r>
        <w:rPr>
          <w:rFonts w:ascii="Times New Roman" w:cs="Times New Roman" w:eastAsia="Times New Roman" w:hAnsi="Times New Roman"/>
          <w:b w:val="false"/>
          <w:bCs w:val="false"/>
          <w:caps/>
          <w:sz w:val="20"/>
          <w:szCs w:val="20"/>
        </w:rPr>
        <w:t xml:space="preserve">IV. Experimental Results</w:t>
      </w:r>
    </w:p>
    <w:p>
      <w:pPr>
        <w:spacing w:after="60" w:before="120"/>
        <w:ind w:firstLine="0"/>
      </w:pPr>
      <w:r>
        <w:rPr>
          <w:rFonts w:ascii="Times New Roman" w:cs="Times New Roman" w:eastAsia="Times New Roman" w:hAnsi="Times New Roman"/>
          <w:b w:val="false"/>
          <w:bCs w:val="false"/>
          <w:caps w:val="false"/>
          <w:sz w:val="20"/>
          <w:szCs w:val="20"/>
        </w:rPr>
        <w:t xml:space="preserve">A. Overall Performance Comparison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Table I reports all five metrics and timing for the three methods on the 24-image test set (PA = Pixel Accuracy, Train = training time, Infer = mean per-image inference time).</w:t>
      </w:r>
    </w:p>
    <w:p>
      <w:pPr>
        <w:spacing w:after="0" w:before="200"/>
        <w:ind w:firstLine="0"/>
        <w:jc w:val="center"/>
      </w:pPr>
      <w:r>
        <w:rPr>
          <w:rFonts w:ascii="Times New Roman" w:cs="Times New Roman" w:eastAsia="Times New Roman" w:hAnsi="Times New Roman"/>
          <w:b w:val="false"/>
          <w:bCs w:val="false"/>
          <w:caps/>
          <w:sz w:val="16"/>
          <w:szCs w:val="16"/>
        </w:rPr>
        <w:t xml:space="preserve">TABLE I</w:t>
      </w:r>
    </w:p>
    <w:p>
      <w:pPr>
        <w:spacing w:after="60" w:before="0"/>
        <w:ind w:firstLine="0"/>
        <w:jc w:val="center"/>
      </w:pPr>
      <w:r>
        <w:rPr>
          <w:rFonts w:ascii="Times New Roman" w:cs="Times New Roman" w:eastAsia="Times New Roman" w:hAnsi="Times New Roman"/>
          <w:b w:val="false"/>
          <w:bCs w:val="false"/>
          <w:caps w:val="false"/>
          <w:sz w:val="16"/>
          <w:szCs w:val="16"/>
        </w:rPr>
        <w:t xml:space="preserve">Test-set performance comparison.</w:t>
      </w:r>
    </w:p>
    <w:tbl>
      <w:tblPr>
        <w:tblW w:type="dxa" w:w="4880"/>
        <w:tblBorders>
          <w:top w:val="single" w:color="auto" w:sz="4"/>
          <w:left w:val="single" w:color="auto" w:sz="4"/>
          <w:bottom w:val="single" w:color="auto" w:sz="4"/>
          <w:right w:val="single" w:color="auto" w:sz="4"/>
          <w:insideH w:val="single" w:color="auto" w:sz="4"/>
          <w:insideV w:val="single" w:color="auto" w:sz="4"/>
        </w:tblBorders>
      </w:tblPr>
      <w:tblGrid>
        <w:gridCol w:w="1092"/>
        <w:gridCol w:w="512"/>
        <w:gridCol w:w="512"/>
        <w:gridCol w:w="512"/>
        <w:gridCol w:w="580"/>
        <w:gridCol w:w="512"/>
        <w:gridCol w:w="580"/>
        <w:gridCol w:w="580"/>
      </w:tblGrid>
      <w:tr>
        <w:tc>
          <w:tcPr>
            <w:tcW w:type="dxa" w:w="109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bCs/>
                <w:caps w:val="false"/>
                <w:sz w:val="16"/>
                <w:szCs w:val="16"/>
              </w:rPr>
              <w:t xml:space="preserve">Method</w:t>
            </w:r>
          </w:p>
        </w:tc>
        <w:tc>
          <w:tcPr>
            <w:tcW w:type="dxa" w:w="51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IoU</w:t>
            </w:r>
          </w:p>
        </w:tc>
        <w:tc>
          <w:tcPr>
            <w:tcW w:type="dxa" w:w="51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F1</w:t>
            </w:r>
          </w:p>
        </w:tc>
        <w:tc>
          <w:tcPr>
            <w:tcW w:type="dxa" w:w="51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Prec.</w:t>
            </w:r>
          </w:p>
        </w:tc>
        <w:tc>
          <w:tcPr>
            <w:tcW w:type="dxa" w:w="58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Recall</w:t>
            </w:r>
          </w:p>
        </w:tc>
        <w:tc>
          <w:tcPr>
            <w:tcW w:type="dxa" w:w="51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PA</w:t>
            </w:r>
          </w:p>
        </w:tc>
        <w:tc>
          <w:tcPr>
            <w:tcW w:type="dxa" w:w="58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Train(s)</w:t>
            </w:r>
          </w:p>
        </w:tc>
        <w:tc>
          <w:tcPr>
            <w:tcW w:type="dxa" w:w="58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Infer(s)</w:t>
            </w:r>
          </w:p>
        </w:tc>
      </w:tr>
      <w:tr>
        <w:tc>
          <w:tcPr>
            <w:tcW w:type="dxa" w:w="109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Watershed</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0.553</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0.574</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0.585</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0.431</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34</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0.021</w:t>
            </w:r>
          </w:p>
        </w:tc>
      </w:tr>
      <w:tr>
        <w:tc>
          <w:tcPr>
            <w:tcW w:type="dxa" w:w="109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Rand. Forest</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0.850</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0.916</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0.915</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0.926</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0.907</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126</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0.325</w:t>
            </w:r>
          </w:p>
        </w:tc>
      </w:tr>
      <w:tr>
        <w:tc>
          <w:tcPr>
            <w:tcW w:type="dxa" w:w="109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U-Net</w:t>
            </w:r>
          </w:p>
        </w:tc>
        <w:tc>
          <w:tcPr>
            <w:tcW w:type="dxa" w:w="51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0.874</w:t>
            </w:r>
          </w:p>
        </w:tc>
        <w:tc>
          <w:tcPr>
            <w:tcW w:type="dxa" w:w="51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0.931</w:t>
            </w:r>
          </w:p>
        </w:tc>
        <w:tc>
          <w:tcPr>
            <w:tcW w:type="dxa" w:w="51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0.922</w:t>
            </w:r>
          </w:p>
        </w:tc>
        <w:tc>
          <w:tcPr>
            <w:tcW w:type="dxa" w:w="58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0.941</w:t>
            </w:r>
          </w:p>
        </w:tc>
        <w:tc>
          <w:tcPr>
            <w:tcW w:type="dxa" w:w="51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0.923</w:t>
            </w:r>
          </w:p>
        </w:tc>
        <w:tc>
          <w:tcPr>
            <w:tcW w:type="dxa" w:w="58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119</w:t>
            </w:r>
          </w:p>
        </w:tc>
        <w:tc>
          <w:tcPr>
            <w:tcW w:type="dxa" w:w="58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0.028</w:t>
            </w:r>
          </w:p>
        </w:tc>
      </w:tr>
    </w:tbl>
    <w:p>
      <w:pPr>
        <w:spacing w:after="120" w:before="0"/>
        <w:ind w:firstLine="0"/>
      </w:pP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Methods 2 and 3 substantially outperform the classical baseline. U-Net achieves the highest IoU (0.874) and F1 (0.931) while being 11× faster at inference than Random Forest (0.028 s vs 0.325 s/image). Despite the smaller gap in average IoU, U-Net also trains slightly faster (119 s vs 126 s).</w:t>
      </w:r>
    </w:p>
    <w:p>
      <w:pPr>
        <w:spacing w:after="60" w:before="120"/>
        <w:ind w:firstLine="0"/>
      </w:pPr>
      <w:r>
        <w:rPr>
          <w:rFonts w:ascii="Times New Roman" w:cs="Times New Roman" w:eastAsia="Times New Roman" w:hAnsi="Times New Roman"/>
          <w:b w:val="false"/>
          <w:bCs w:val="false"/>
          <w:caps w:val="false"/>
          <w:sz w:val="20"/>
          <w:szCs w:val="20"/>
        </w:rPr>
        <w:t xml:space="preserve">B. Seasonal Failure Analysis of Method 1</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Per-image analysis reveals a clear temporal pattern in Method 1 performance (Table II). Early-season images (February–March) yield average IoU 0.81, comparable to learning-based methods. From April onwards, as wheat matures and shifts from green to golden-yellow, the ExG-based vegetation score loses discriminative power and IoU collapses to 0.23 by late spring.</w:t>
      </w:r>
    </w:p>
    <w:p>
      <w:pPr>
        <w:spacing w:after="0" w:before="200"/>
        <w:ind w:firstLine="0"/>
        <w:jc w:val="center"/>
      </w:pPr>
      <w:r>
        <w:rPr>
          <w:rFonts w:ascii="Times New Roman" w:cs="Times New Roman" w:eastAsia="Times New Roman" w:hAnsi="Times New Roman"/>
          <w:b w:val="false"/>
          <w:bCs w:val="false"/>
          <w:caps/>
          <w:sz w:val="16"/>
          <w:szCs w:val="16"/>
        </w:rPr>
        <w:t xml:space="preserve">TABLE II</w:t>
      </w:r>
    </w:p>
    <w:p>
      <w:pPr>
        <w:spacing w:after="60" w:before="0"/>
        <w:ind w:firstLine="0"/>
        <w:jc w:val="center"/>
      </w:pPr>
      <w:r>
        <w:rPr>
          <w:rFonts w:ascii="Times New Roman" w:cs="Times New Roman" w:eastAsia="Times New Roman" w:hAnsi="Times New Roman"/>
          <w:b w:val="false"/>
          <w:bCs w:val="false"/>
          <w:caps w:val="false"/>
          <w:sz w:val="16"/>
          <w:szCs w:val="16"/>
        </w:rPr>
        <w:t xml:space="preserve">Seasonal variation in Method 1 IoU (Watershed).</w:t>
      </w:r>
    </w:p>
    <w:tbl>
      <w:tblPr>
        <w:tblW w:type="dxa" w:w="4880"/>
        <w:tblBorders>
          <w:top w:val="single" w:color="auto" w:sz="4"/>
          <w:left w:val="single" w:color="auto" w:sz="4"/>
          <w:bottom w:val="single" w:color="auto" w:sz="4"/>
          <w:right w:val="single" w:color="auto" w:sz="4"/>
          <w:insideH w:val="single" w:color="auto" w:sz="4"/>
          <w:insideV w:val="single" w:color="auto" w:sz="4"/>
        </w:tblBorders>
      </w:tblPr>
      <w:tblGrid>
        <w:gridCol w:w="1627"/>
        <w:gridCol w:w="1627"/>
        <w:gridCol w:w="1626"/>
      </w:tblGrid>
      <w:tr>
        <w:tc>
          <w:tcPr>
            <w:tcW w:type="dxa" w:w="1627"/>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bCs/>
                <w:caps w:val="false"/>
                <w:sz w:val="16"/>
                <w:szCs w:val="16"/>
              </w:rPr>
              <w:t xml:space="preserve">Period</w:t>
            </w:r>
          </w:p>
        </w:tc>
        <w:tc>
          <w:tcPr>
            <w:tcW w:type="dxa" w:w="1627"/>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Date Range</w:t>
            </w:r>
          </w:p>
        </w:tc>
        <w:tc>
          <w:tcPr>
            <w:tcW w:type="dxa" w:w="1626"/>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M1 IoU (avg)</w:t>
            </w:r>
          </w:p>
        </w:tc>
      </w:tr>
      <w:tr>
        <w:tc>
          <w:tcPr>
            <w:tcW w:type="dxa" w:w="1627"/>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Early season</w:t>
            </w:r>
          </w:p>
        </w:tc>
        <w:tc>
          <w:tcPr>
            <w:tcW w:type="dxa" w:w="1627"/>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Feb – Mar</w:t>
            </w:r>
          </w:p>
        </w:tc>
        <w:tc>
          <w:tcPr>
            <w:tcW w:type="dxa" w:w="1626"/>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0.81</w:t>
            </w:r>
          </w:p>
        </w:tc>
      </w:tr>
      <w:tr>
        <w:tc>
          <w:tcPr>
            <w:tcW w:type="dxa" w:w="1627"/>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Mid season</w:t>
            </w:r>
          </w:p>
        </w:tc>
        <w:tc>
          <w:tcPr>
            <w:tcW w:type="dxa" w:w="1627"/>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Late Mar</w:t>
            </w:r>
          </w:p>
        </w:tc>
        <w:tc>
          <w:tcPr>
            <w:tcW w:type="dxa" w:w="1626"/>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0.44</w:t>
            </w:r>
          </w:p>
        </w:tc>
      </w:tr>
      <w:tr>
        <w:tc>
          <w:tcPr>
            <w:tcW w:type="dxa" w:w="1627"/>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Late season</w:t>
            </w:r>
          </w:p>
        </w:tc>
        <w:tc>
          <w:tcPr>
            <w:tcW w:type="dxa" w:w="1627"/>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Apr – May</w:t>
            </w:r>
          </w:p>
        </w:tc>
        <w:tc>
          <w:tcPr>
            <w:tcW w:type="dxa" w:w="1626"/>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0.23</w:t>
            </w:r>
          </w:p>
        </w:tc>
      </w:tr>
    </w:tbl>
    <w:p>
      <w:pPr>
        <w:spacing w:after="120" w:before="0"/>
        <w:ind w:firstLine="0"/>
      </w:pP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Methods 2 and 3 are unaffected by this seasonal shift: both learn appearance-agnostic representations from the full-season training data.</w:t>
      </w:r>
    </w:p>
    <w:p>
      <w:pPr>
        <w:spacing w:after="60" w:before="120"/>
        <w:ind w:firstLine="0"/>
      </w:pPr>
      <w:r>
        <w:rPr>
          <w:rFonts w:ascii="Times New Roman" w:cs="Times New Roman" w:eastAsia="Times New Roman" w:hAnsi="Times New Roman"/>
          <w:b w:val="false"/>
          <w:bCs w:val="false"/>
          <w:caps w:val="false"/>
          <w:sz w:val="20"/>
          <w:szCs w:val="20"/>
        </w:rPr>
        <w:t xml:space="preserve">C. Robustness to Image Distortions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To simulate real-world image degradation, we apply four distortion types to the test set: Gaussian noise (σ = 15 and σ = 40), Gaussian blur (σ = 1.5 and σ = 3.0), brightness reduction (×0.7 and ×0.4), and contrast reduction (×0.7 and ×0.4). Each method is trained once on clean data; only inference uses distorted images. Table III reports IoU.</w:t>
      </w:r>
    </w:p>
    <w:p>
      <w:pPr>
        <w:spacing w:after="0" w:before="200"/>
        <w:ind w:firstLine="0"/>
        <w:jc w:val="center"/>
      </w:pPr>
      <w:r>
        <w:rPr>
          <w:rFonts w:ascii="Times New Roman" w:cs="Times New Roman" w:eastAsia="Times New Roman" w:hAnsi="Times New Roman"/>
          <w:b w:val="false"/>
          <w:bCs w:val="false"/>
          <w:caps/>
          <w:sz w:val="16"/>
          <w:szCs w:val="16"/>
        </w:rPr>
        <w:t xml:space="preserve">TABLE III</w:t>
      </w:r>
    </w:p>
    <w:p>
      <w:pPr>
        <w:spacing w:after="60" w:before="0"/>
        <w:ind w:firstLine="0"/>
        <w:jc w:val="center"/>
      </w:pPr>
      <w:r>
        <w:rPr>
          <w:rFonts w:ascii="Times New Roman" w:cs="Times New Roman" w:eastAsia="Times New Roman" w:hAnsi="Times New Roman"/>
          <w:b w:val="false"/>
          <w:bCs w:val="false"/>
          <w:caps w:val="false"/>
          <w:sz w:val="16"/>
          <w:szCs w:val="16"/>
        </w:rPr>
        <w:t xml:space="preserve">IoU under image distortions (trained on clean data).</w:t>
      </w:r>
    </w:p>
    <w:tbl>
      <w:tblPr>
        <w:tblW w:type="dxa" w:w="4880"/>
        <w:tblBorders>
          <w:top w:val="single" w:color="auto" w:sz="4"/>
          <w:left w:val="single" w:color="auto" w:sz="4"/>
          <w:bottom w:val="single" w:color="auto" w:sz="4"/>
          <w:right w:val="single" w:color="auto" w:sz="4"/>
          <w:insideH w:val="single" w:color="auto" w:sz="4"/>
          <w:insideV w:val="single" w:color="auto" w:sz="4"/>
        </w:tblBorders>
      </w:tblPr>
      <w:tblGrid>
        <w:gridCol w:w="2000"/>
        <w:gridCol w:w="960"/>
        <w:gridCol w:w="960"/>
        <w:gridCol w:w="960"/>
      </w:tblGrid>
      <w:tr>
        <w:tc>
          <w:tcPr>
            <w:tcW w:type="dxa" w:w="200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bCs/>
                <w:caps w:val="false"/>
                <w:sz w:val="16"/>
                <w:szCs w:val="16"/>
              </w:rPr>
              <w:t xml:space="preserve">Distortion</w:t>
            </w:r>
          </w:p>
        </w:tc>
        <w:tc>
          <w:tcPr>
            <w:tcW w:type="dxa" w:w="96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M1 IoU</w:t>
            </w:r>
          </w:p>
        </w:tc>
        <w:tc>
          <w:tcPr>
            <w:tcW w:type="dxa" w:w="96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M2 IoU</w:t>
            </w:r>
          </w:p>
        </w:tc>
        <w:tc>
          <w:tcPr>
            <w:tcW w:type="dxa" w:w="96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M3 IoU</w:t>
            </w:r>
          </w:p>
        </w:tc>
      </w:tr>
      <w:tr>
        <w:tc>
          <w:tcPr>
            <w:tcW w:type="dxa" w:w="20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Clean (baseline)</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0.850</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0.874</w:t>
            </w:r>
          </w:p>
        </w:tc>
      </w:tr>
      <w:tr>
        <w:tc>
          <w:tcPr>
            <w:tcW w:type="dxa" w:w="20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Noise σ=15</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0.474</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0.733</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0.831</w:t>
            </w:r>
          </w:p>
        </w:tc>
      </w:tr>
      <w:tr>
        <w:tc>
          <w:tcPr>
            <w:tcW w:type="dxa" w:w="20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Noise σ=40</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0.541</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0.672</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0.728</w:t>
            </w:r>
          </w:p>
        </w:tc>
      </w:tr>
      <w:tr>
        <w:tc>
          <w:tcPr>
            <w:tcW w:type="dxa" w:w="20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Blur σ=1.5</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0.399</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0.838</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0.864</w:t>
            </w:r>
          </w:p>
        </w:tc>
      </w:tr>
      <w:tr>
        <w:tc>
          <w:tcPr>
            <w:tcW w:type="dxa" w:w="20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Blur σ=3.0</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0.389</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0.798</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0.815</w:t>
            </w:r>
          </w:p>
        </w:tc>
      </w:tr>
      <w:tr>
        <w:tc>
          <w:tcPr>
            <w:tcW w:type="dxa" w:w="20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Brightness ×0.7</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0.424</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0.814</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0.844</w:t>
            </w:r>
          </w:p>
        </w:tc>
      </w:tr>
      <w:tr>
        <w:tc>
          <w:tcPr>
            <w:tcW w:type="dxa" w:w="20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Brightness ×0.4</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0.448</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0.723</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0.739</w:t>
            </w:r>
          </w:p>
        </w:tc>
      </w:tr>
      <w:tr>
        <w:tc>
          <w:tcPr>
            <w:tcW w:type="dxa" w:w="20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Contrast ×0.7</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0.417</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0.820</w:t>
            </w:r>
          </w:p>
        </w:tc>
        <w:tc>
          <w:tcPr>
            <w:tcW w:type="dxa" w:w="96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0.831</w:t>
            </w:r>
          </w:p>
        </w:tc>
      </w:tr>
      <w:tr>
        <w:tc>
          <w:tcPr>
            <w:tcW w:type="dxa" w:w="200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Contrast ×0.4</w:t>
            </w:r>
          </w:p>
        </w:tc>
        <w:tc>
          <w:tcPr>
            <w:tcW w:type="dxa" w:w="96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0.424</w:t>
            </w:r>
          </w:p>
        </w:tc>
        <w:tc>
          <w:tcPr>
            <w:tcW w:type="dxa" w:w="96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0.648</w:t>
            </w:r>
          </w:p>
        </w:tc>
        <w:tc>
          <w:tcPr>
            <w:tcW w:type="dxa" w:w="96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0.596</w:t>
            </w:r>
          </w:p>
        </w:tc>
      </w:tr>
    </w:tbl>
    <w:p>
      <w:pPr>
        <w:spacing w:after="120" w:before="0"/>
        <w:ind w:firstLine="0"/>
      </w:pP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U-Net is most robust in 8 of 9 conditions. The sole exception is extreme contrast reduction (×0.4), where Random Forest (0.648) outperforms U-Net (0.596), likely because the spatial attention mechanism of U-Net relies on contrast cues whereas global colour statistics are more contrast-tolerant.</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A counter-intuitive result is that Method 1 improves under noise: IoU rises from 0.415 (clean) to 0.541 (σ = 40). Adding noise disrupts the uniform low-ExG texture of mature golden wheat, artificially restoring ExG variance that the vegetation score can exploit.</w:t>
      </w:r>
    </w:p>
    <w:p>
      <w:pPr>
        <w:spacing w:after="60" w:before="120"/>
        <w:ind w:firstLine="0"/>
      </w:pPr>
      <w:r>
        <w:rPr>
          <w:rFonts w:ascii="Times New Roman" w:cs="Times New Roman" w:eastAsia="Times New Roman" w:hAnsi="Times New Roman"/>
          <w:b w:val="false"/>
          <w:bCs w:val="false"/>
          <w:caps w:val="false"/>
          <w:sz w:val="20"/>
          <w:szCs w:val="20"/>
        </w:rPr>
        <w:t xml:space="preserve">D. Training Data Efficiency</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We train Methods 2 and 3 on random subsets of 25%, 50%, 75%, and 100% of the 142 training images, evaluating on the full test set each time. Method 1 serves as a data-independent baseline (Table IV).</w:t>
      </w:r>
    </w:p>
    <w:p>
      <w:pPr>
        <w:spacing w:after="0" w:before="200"/>
        <w:ind w:firstLine="0"/>
        <w:jc w:val="center"/>
      </w:pPr>
      <w:r>
        <w:rPr>
          <w:rFonts w:ascii="Times New Roman" w:cs="Times New Roman" w:eastAsia="Times New Roman" w:hAnsi="Times New Roman"/>
          <w:b w:val="false"/>
          <w:bCs w:val="false"/>
          <w:caps/>
          <w:sz w:val="16"/>
          <w:szCs w:val="16"/>
        </w:rPr>
        <w:t xml:space="preserve">TABLE IV</w:t>
      </w:r>
    </w:p>
    <w:p>
      <w:pPr>
        <w:spacing w:after="60" w:before="0"/>
        <w:ind w:firstLine="0"/>
        <w:jc w:val="center"/>
      </w:pPr>
      <w:r>
        <w:rPr>
          <w:rFonts w:ascii="Times New Roman" w:cs="Times New Roman" w:eastAsia="Times New Roman" w:hAnsi="Times New Roman"/>
          <w:b w:val="false"/>
          <w:bCs w:val="false"/>
          <w:caps w:val="false"/>
          <w:sz w:val="16"/>
          <w:szCs w:val="16"/>
        </w:rPr>
        <w:t xml:space="preserve">IoU vs. training data fraction.</w:t>
      </w:r>
    </w:p>
    <w:tbl>
      <w:tblPr>
        <w:tblW w:type="dxa" w:w="4880"/>
        <w:tblBorders>
          <w:top w:val="single" w:color="auto" w:sz="4"/>
          <w:left w:val="single" w:color="auto" w:sz="4"/>
          <w:bottom w:val="single" w:color="auto" w:sz="4"/>
          <w:right w:val="single" w:color="auto" w:sz="4"/>
          <w:insideH w:val="single" w:color="auto" w:sz="4"/>
          <w:insideV w:val="single" w:color="auto" w:sz="4"/>
        </w:tblBorders>
      </w:tblPr>
      <w:tblGrid>
        <w:gridCol w:w="901"/>
        <w:gridCol w:w="701"/>
        <w:gridCol w:w="1093"/>
        <w:gridCol w:w="1093"/>
        <w:gridCol w:w="1092"/>
      </w:tblGrid>
      <w:tr>
        <w:tc>
          <w:tcPr>
            <w:tcW w:type="dxa" w:w="901"/>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Fraction</w:t>
            </w:r>
          </w:p>
        </w:tc>
        <w:tc>
          <w:tcPr>
            <w:tcW w:type="dxa" w:w="701"/>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N</w:t>
            </w:r>
          </w:p>
        </w:tc>
        <w:tc>
          <w:tcPr>
            <w:tcW w:type="dxa" w:w="1093"/>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M1 IoU</w:t>
            </w:r>
          </w:p>
        </w:tc>
        <w:tc>
          <w:tcPr>
            <w:tcW w:type="dxa" w:w="1093"/>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M2 IoU</w:t>
            </w:r>
          </w:p>
        </w:tc>
        <w:tc>
          <w:tcPr>
            <w:tcW w:type="dxa" w:w="109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M3 IoU</w:t>
            </w:r>
          </w:p>
        </w:tc>
      </w:tr>
      <w:tr>
        <w:tc>
          <w:tcPr>
            <w:tcW w:type="dxa" w:w="9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25%</w:t>
            </w:r>
          </w:p>
        </w:tc>
        <w:tc>
          <w:tcPr>
            <w:tcW w:type="dxa" w:w="7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35</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0.848</w:t>
            </w:r>
          </w:p>
        </w:tc>
        <w:tc>
          <w:tcPr>
            <w:tcW w:type="dxa" w:w="109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0.852</w:t>
            </w:r>
          </w:p>
        </w:tc>
      </w:tr>
      <w:tr>
        <w:tc>
          <w:tcPr>
            <w:tcW w:type="dxa" w:w="9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50%</w:t>
            </w:r>
          </w:p>
        </w:tc>
        <w:tc>
          <w:tcPr>
            <w:tcW w:type="dxa" w:w="7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71</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0.826</w:t>
            </w:r>
          </w:p>
        </w:tc>
        <w:tc>
          <w:tcPr>
            <w:tcW w:type="dxa" w:w="109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0.867</w:t>
            </w:r>
          </w:p>
        </w:tc>
      </w:tr>
      <w:tr>
        <w:tc>
          <w:tcPr>
            <w:tcW w:type="dxa" w:w="9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75%</w:t>
            </w:r>
          </w:p>
        </w:tc>
        <w:tc>
          <w:tcPr>
            <w:tcW w:type="dxa" w:w="7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106</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0.846</w:t>
            </w:r>
          </w:p>
        </w:tc>
        <w:tc>
          <w:tcPr>
            <w:tcW w:type="dxa" w:w="109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0.869</w:t>
            </w:r>
          </w:p>
        </w:tc>
      </w:tr>
      <w:tr>
        <w:tc>
          <w:tcPr>
            <w:tcW w:type="dxa" w:w="901"/>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100%</w:t>
            </w:r>
          </w:p>
        </w:tc>
        <w:tc>
          <w:tcPr>
            <w:tcW w:type="dxa" w:w="701"/>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142</w:t>
            </w:r>
          </w:p>
        </w:tc>
        <w:tc>
          <w:tcPr>
            <w:tcW w:type="dxa" w:w="1093"/>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1093"/>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0.850</w:t>
            </w:r>
          </w:p>
        </w:tc>
        <w:tc>
          <w:tcPr>
            <w:tcW w:type="dxa" w:w="109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0.874</w:t>
            </w:r>
          </w:p>
        </w:tc>
      </w:tr>
    </w:tbl>
    <w:p>
      <w:pPr>
        <w:spacing w:after="120" w:before="0"/>
        <w:ind w:firstLine="0"/>
      </w:pP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Both learning-based methods exhibit high data efficiency. U-Net reaches IoU 0.852 with only 35 images (25% of training data), just 0.022 below its full-data score. Random Forest achieves IoU 0.848 at 25% and 0.850 at 100%, indicating that performance saturates quickly. These results are encouraging for deployment scenarios where annotated data is scarce.</w:t>
      </w:r>
    </w:p>
    <w:p>
      <w:pPr>
        <w:spacing w:after="80" w:before="160"/>
        <w:ind w:firstLine="0"/>
        <w:jc w:val="center"/>
      </w:pPr>
      <w:r>
        <w:rPr>
          <w:rFonts w:ascii="Times New Roman" w:cs="Times New Roman" w:eastAsia="Times New Roman" w:hAnsi="Times New Roman"/>
          <w:b w:val="false"/>
          <w:bCs w:val="false"/>
          <w:caps/>
          <w:sz w:val="20"/>
          <w:szCs w:val="20"/>
        </w:rPr>
        <w:t xml:space="preserve">V. Discussion</w:t>
      </w:r>
    </w:p>
    <w:p>
      <w:pPr>
        <w:spacing w:after="60" w:before="120"/>
        <w:ind w:firstLine="0"/>
      </w:pPr>
      <w:r>
        <w:rPr>
          <w:rFonts w:ascii="Times New Roman" w:cs="Times New Roman" w:eastAsia="Times New Roman" w:hAnsi="Times New Roman"/>
          <w:b w:val="false"/>
          <w:bCs w:val="false"/>
          <w:caps w:val="false"/>
          <w:sz w:val="20"/>
          <w:szCs w:val="20"/>
        </w:rPr>
        <w:t xml:space="preserve">A. Method Comparison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results confirm the expected performance hierarchy: deep learning &gt; machine learning &gt; classical, with the caveat that all three perform comparably on early-season images where colour-based cues are reliable. U-Net’s practical advantage lies not only in slightly higher IoU but in its substantially faster inference, making it the preferred choice for large-scale field monitoring.</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Random Forest achieves a strong IoU of 0.850 using simple features and no GPU, making it a compelling alternative when deep learning infrastructure is unavailable. Its higher inference cost (0.325 s/image) reflects pixel-level feature extraction; feature selection or approximation could reduce this.</w:t>
      </w:r>
    </w:p>
    <w:p>
      <w:pPr>
        <w:spacing w:after="60" w:before="120"/>
        <w:ind w:firstLine="0"/>
      </w:pPr>
      <w:r>
        <w:rPr>
          <w:rFonts w:ascii="Times New Roman" w:cs="Times New Roman" w:eastAsia="Times New Roman" w:hAnsi="Times New Roman"/>
          <w:b w:val="false"/>
          <w:bCs w:val="false"/>
          <w:caps w:val="false"/>
          <w:sz w:val="20"/>
          <w:szCs w:val="20"/>
        </w:rPr>
        <w:t xml:space="preserve">B. Failure Cases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1 fails systematically on mature wheat. Qualitative inspection of late-season images shows that golden wheat has lower green channel dominance than young green shoots, causing the ExG score to assign near-zero vegetation probability to large foreground regions. Incorporating near-infrared (NIR) reflectance or season-invariant texture features could remedy this.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Methods 2 and 3 occasionally fail on images with heavy shadows or out-of-focus regions near image boundaries, corresponding to the lowest per-sample IoU values in the per-sample metrics records.</w:t>
      </w:r>
    </w:p>
    <w:p>
      <w:pPr>
        <w:spacing w:after="60" w:before="120"/>
        <w:ind w:firstLine="0"/>
      </w:pPr>
      <w:r>
        <w:rPr>
          <w:rFonts w:ascii="Times New Roman" w:cs="Times New Roman" w:eastAsia="Times New Roman" w:hAnsi="Times New Roman"/>
          <w:b w:val="false"/>
          <w:bCs w:val="false"/>
          <w:caps w:val="false"/>
          <w:sz w:val="20"/>
          <w:szCs w:val="20"/>
        </w:rPr>
        <w:t xml:space="preserve">C. Limitations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U-Net used here is lightweight (base channels = 16) to support CPU training. Increasing model capacity or training for more epochs would likely push IoU above 0.90, approaching state-of-the-art values reported for this dataset. Additionally, the robustness experiment trains on clean data; augmenting with distorted images during training may further improve robustness, particularly for the contrast and noise conditions where the largest IoU drops are observed.</w:t>
      </w:r>
    </w:p>
    <w:p>
      <w:pPr>
        <w:spacing w:after="80" w:before="160"/>
        <w:ind w:firstLine="0"/>
        <w:jc w:val="center"/>
      </w:pPr>
      <w:r>
        <w:rPr>
          <w:rFonts w:ascii="Times New Roman" w:cs="Times New Roman" w:eastAsia="Times New Roman" w:hAnsi="Times New Roman"/>
          <w:b w:val="false"/>
          <w:bCs w:val="false"/>
          <w:caps/>
          <w:sz w:val="20"/>
          <w:szCs w:val="20"/>
        </w:rPr>
        <w:t xml:space="preserve">VI. Conclusion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We presented a systematic comparison of three wheat segmentation methods on the EWS dataset. The classical Watershed method, while fast and parameter-free, fails for mature wheat due to its reliance on green-colour cues (IoU 0.415 overall, dropping to 0.23 in late spring). The Random Forest achieves IoU 0.850, largely insensitive to training-set size. U-Net achieves the best overall performance (IoU 0.874) with superior distortion robustness and the fastest inference.</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Key findings: (1) a clear seasonal failure mode in classical colour-based segmentation; (2) counter-intuitive robustness gain of ExG under Gaussian noise; (3) superior extreme-contrast robustness of Random Forest over U-Net; and (4) high data efficiency for both learning-based methods. Future work should explore season-invariant features for classical methods, larger U-Net variants with distortion augmentation, and semi-supervised approaches to further reduce annotation requirements.</w:t>
      </w:r>
    </w:p>
    <w:p>
      <w:pPr>
        <w:spacing w:after="80" w:before="160"/>
        <w:ind w:firstLine="0"/>
        <w:jc w:val="center"/>
      </w:pPr>
      <w:r>
        <w:rPr>
          <w:rFonts w:ascii="Times New Roman" w:cs="Times New Roman" w:eastAsia="Times New Roman" w:hAnsi="Times New Roman"/>
          <w:b w:val="false"/>
          <w:bCs w:val="false"/>
          <w:caps/>
          <w:sz w:val="20"/>
          <w:szCs w:val="20"/>
        </w:rPr>
        <w:t xml:space="preserve">VII. References</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[1]	O. Ronneberger, P. Fischer, and T. Brox, “U-Net: Convolutional networks for biomedical image segmentation,” in Proc. MICCAI, 2015, pp. 234–241.</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[2]	R. Zenkl et al., “Outdoor plant segmentation with deep learning for high-throughput field phenotyping on a diverse wheat dataset,” Front. Plant Sci., vol. 12, p. 774068, 2022.</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[3]	L. Vincent and P. Soille, “Watersheds in digital spaces: An efficient algorithm based on immersion simulations,” IEEE Trans. Pattern Anal. Mach. Intell., vol. 13, no. 6, pp. 583–598, 1991.</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[4]	T. Woebbecke et al., “Color indices for weed identification under various soil, residue, and lighting conditions,” Trans. ASAE, vol. 38, no. 1, pp. 259–269, 1995.</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[5]	C. Rother, V. Kolmogorov, and A. Blake, “GrabCut: Interactive foreground extraction using iterated graph cuts,” ACM Trans. Graph., vol. 23, no. 3, pp. 309–314, 2004.</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[6]	L. Breiman, “Random forests,” Mach. Learn., vol. 45, no. 1, pp. 5–32, 2001.</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[7]	S. Cao et al., “The blessing of Depth Anything: An almost unsupervised approach to crop segmentation with depth-informed pseudo labeling,” Plant Phenomics, vol. 7, no. 1, p. 100005, 2025.</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[8]	Y. Zhang et al., “DepthCropSeg++: Scaling a crop segmentation foundation model with depth-labeled data,” IEEE J. Sel. Topics Signal Process., 2026.</w:t>
      </w:r>
    </w:p>
    <w:p>
      <w:pPr>
        <w:spacing w:after="200" w:before="0"/>
        <w:ind w:firstLine="0"/>
      </w:pPr>
    </w:p>
    <w:sectPr>
      <w:type w:val="continuous"/>
      <w:pgSz w:w="11906" w:h="16838" w:orient="portrait"/>
      <w:pgMar w:top="1080" w:right="893" w:bottom="1440" w:left="893" w:header="720" w:footer="720"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0"/>
      <w:jc w:val="center"/>
    </w:pPr>
    <w:r>
      <w:rPr>
        <w:rFonts w:ascii="Times New Roman" w:cs="Times New Roman" w:eastAsia="Times New Roman" w:hAnsi="Times New Roman"/>
        <w:b w:val="false"/>
        <w:bCs w:val="false"/>
        <w:caps w:val="false"/>
        <w:sz w:val="16"/>
        <w:szCs w:val="16"/>
      </w:rPr>
      <w:t xml:space="preserve">COMP9517 Computer Vision — UNSW 2026 T1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2026-04-14T14:46:50.294Z</dcterms:created>
  <dcterms:modified xsi:type="dcterms:W3CDTF">2026-04-14T14:46:50.300Z</dcterms:modified>
</cp:coreProperties>
</file>

<file path=docProps/custom.xml><?xml version="1.0" encoding="utf-8"?>
<Properties xmlns="http://schemas.openxmlformats.org/officeDocument/2006/custom-properties" xmlns:vt="http://schemas.openxmlformats.org/officeDocument/2006/docPropsVTypes"/>
</file>