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ind w:firstLine="0"/>
        <w:jc w:val="center"/>
      </w:pPr>
      <w:r>
        <w:rPr>
          <w:rFonts w:ascii="Times New Roman" w:cs="Times New Roman" w:eastAsia="Times New Roman" w:hAnsi="Times New Roman"/>
          <w:b w:val="false"/>
          <w:bCs w:val="false"/>
          <w:caps w:val="false"/>
          <w:sz w:val="48"/>
          <w:szCs w:val="48"/>
        </w:rPr>
        <w:t xml:space="preserve">Comparative Study of Classical, Machine Learning, and Deep Learning Methods for Wheat Crop Segmentation</w:t>
      </w:r>
    </w:p>
    <w:p>
      <w:pPr>
        <w:spacing w:after="40" w:before="360"/>
        <w:ind w:firstLine="0"/>
        <w:jc w:val="center"/>
      </w:pPr>
      <w:r>
        <w:rPr>
          <w:rFonts w:ascii="Times New Roman" w:cs="Times New Roman" w:eastAsia="Times New Roman" w:hAnsi="Times New Roman"/>
          <w:b w:val="false"/>
          <w:bCs w:val="false"/>
          <w:caps w:val="false"/>
          <w:sz w:val="22"/>
          <w:szCs w:val="22"/>
        </w:rPr>
        <w:t xml:space="preserve">COMP9517 Group Project Team</w:t>
      </w:r>
    </w:p>
    <w:p>
      <w:pPr>
        <w:spacing w:after="40" w:before="0"/>
        <w:ind w:firstLine="0"/>
        <w:jc w:val="center"/>
      </w:pPr>
      <w:r>
        <w:rPr>
          <w:rFonts w:ascii="Times New Roman" w:cs="Times New Roman" w:eastAsia="Times New Roman" w:hAnsi="Times New Roman"/>
          <w:b w:val="false"/>
          <w:bCs w:val="false"/>
          <w:caps w:val="false"/>
          <w:sz w:val="20"/>
          <w:szCs w:val="20"/>
        </w:rPr>
        <w:t xml:space="preserve">School of Computer Science and Engineering, UNSW Sydney</w:t>
      </w:r>
    </w:p>
    <w:p>
      <w:pPr>
        <w:spacing w:after="240" w:before="0"/>
        <w:ind w:firstLine="0"/>
        <w:jc w:val="center"/>
      </w:pPr>
      <w:r>
        <w:rPr>
          <w:rFonts w:ascii="Times New Roman" w:cs="Times New Roman" w:eastAsia="Times New Roman" w:hAnsi="Times New Roman"/>
          <w:b w:val="false"/>
          <w:bCs w:val="false"/>
          <w:caps w:val="false"/>
          <w:sz w:val="20"/>
          <w:szCs w:val="20"/>
        </w:rPr>
        <w:t xml:space="preserve">Sydney, NSW 2052, Australia</w:t>
      </w:r>
    </w:p>
    <w:p>
      <w:pPr>
        <w:spacing w:after="200" w:before="0" w:line="240" w:lineRule="auto"/>
        <w:ind w:firstLine="272"/>
        <w:jc w:val="both"/>
      </w:pPr>
      <w:r>
        <w:rPr>
          <w:rFonts w:ascii="Times New Roman" w:cs="Times New Roman" w:eastAsia="Times New Roman" w:hAnsi="Times New Roman"/>
          <w:b/>
          <w:bCs/>
          <w:caps w:val="false"/>
          <w:sz w:val="18"/>
          <w:szCs w:val="18"/>
        </w:rPr>
        <w:t xml:space="preserve">Abstract</w:t>
      </w:r>
      <w:r>
        <w:rPr>
          <w:rFonts w:ascii="Times New Roman" w:cs="Times New Roman" w:eastAsia="Times New Roman" w:hAnsi="Times New Roman"/>
          <w:b w:val="false"/>
          <w:bCs w:val="false"/>
          <w:caps w:val="false"/>
          <w:sz w:val="18"/>
          <w:szCs w:val="18"/>
        </w:rPr>
        <w:t xml:space="preserve">—This paper presents a comparative study of three computer vision methods for wheat crop segmentation using the Eschikon Wheat Segmentation (EWS) dataset, which contains 190 RGB images of 350×350 pixels with manual binary annotations. The three methods represent fundamentally different paradigms: (1) a classical image processing approach based on Excess Green vegetation indices with Watershed segmentation, (2) a machine learning approach using 28-dimensional handcrafted pixel features with a Random Forest classifier, and (3) a deep learning approach using a lightweight U-Net architecture with data augmentation. Experiments on the held-out test set yield IoU scores of 0.415, 0.850, and 0.874 respectively. Additional analysis reveals that the classical method suffers a critical seasonal failure (IoU drops from 0.81 in early spring to 0.23 by late spring as wheat matures from green to golden-yellow), while U-Net demonstrates superior robustness to image distortions. Both learning-based methods achieve near-peak performance with as few as 35 training images.</w:t>
      </w:r>
    </w:p>
    <w:p>
      <w:pPr>
        <w:spacing w:after="120" w:before="0"/>
        <w:ind w:firstLine="274"/>
        <w:jc w:val="both"/>
      </w:pPr>
      <w:r>
        <w:rPr>
          <w:rFonts w:ascii="Times New Roman" w:cs="Times New Roman" w:eastAsia="Times New Roman" w:hAnsi="Times New Roman"/>
          <w:b/>
          <w:bCs/>
          <w:caps w:val="false"/>
          <w:sz w:val="18"/>
          <w:szCs w:val="18"/>
        </w:rPr>
        <w:t xml:space="preserve">Keywords</w:t>
      </w:r>
      <w:r>
        <w:rPr>
          <w:rFonts w:ascii="Times New Roman" w:cs="Times New Roman" w:eastAsia="Times New Roman" w:hAnsi="Times New Roman"/>
          <w:b w:val="false"/>
          <w:bCs w:val="false"/>
          <w:caps w:val="false"/>
          <w:sz w:val="18"/>
          <w:szCs w:val="18"/>
        </w:rPr>
        <w:t xml:space="preserve">—wheat segmentation; image processing; random forest; U-Net; deep learning; robustness; data efficiency; precision agriculture</w:t>
      </w:r>
    </w:p>
    <w:p>
      <w:pPr>
        <w:sectPr>
          <w:footerReference w:type="default" r:id="rId7"/>
          <w:pgSz w:w="11906" w:h="16838" w:orient="portrait"/>
          <w:pgMar w:top="540" w:right="893" w:bottom="1440" w:left="893" w:header="720" w:footer="720" w:gutter="0"/>
          <w:pgNumType/>
          <w:docGrid w:linePitch="360"/>
        </w:sectPr>
      </w:pPr>
    </w:p>
    <w:p>
      <w:pPr>
        <w:spacing w:after="80" w:before="160"/>
        <w:ind w:firstLine="0"/>
        <w:jc w:val="center"/>
      </w:pPr>
      <w:r>
        <w:rPr>
          <w:rFonts w:ascii="Times New Roman" w:cs="Times New Roman" w:eastAsia="Times New Roman" w:hAnsi="Times New Roman"/>
          <w:b w:val="false"/>
          <w:bCs w:val="false"/>
          <w:caps/>
          <w:sz w:val="20"/>
          <w:szCs w:val="20"/>
        </w:rPr>
        <w:t xml:space="preserve">I. Introduction</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Reliable automated segmentation of crop plants in field images is a fundamental challenge in precision agriculture. Accurate pixel-level delineation of wheat from background soil supports downstream tasks such as biomass estimation, growth monitoring, disease detection, and yield forecasting.</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Classical computer vision methods exploit handcrafted colour cues such as the Excess Green index (ExG), which works well when crops are green but fails as plants mature and change colour. Machine learning methods with carefully engineered features offer improved generalisation, while deep learning architectures such as U-Net [1] learn hierarchical representations that adapt across growth stages.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This study develops and evaluates three contrasting methods on the EWS dataset [2], a public benchmark of 190 RGB wheat field images collected across a full growing season. We evaluate all methods on standard metrics (IoU, F1, Precision, Recall, Pixel Accuracy) and conduct additional robustness and data-efficiency experiments motivated by real-world deployment considerations.</w:t>
      </w:r>
    </w:p>
    <w:p>
      <w:pPr>
        <w:spacing w:after="80" w:before="160"/>
        <w:ind w:firstLine="0"/>
        <w:jc w:val="center"/>
      </w:pPr>
      <w:r>
        <w:rPr>
          <w:rFonts w:ascii="Times New Roman" w:cs="Times New Roman" w:eastAsia="Times New Roman" w:hAnsi="Times New Roman"/>
          <w:b w:val="false"/>
          <w:bCs w:val="false"/>
          <w:caps/>
          <w:sz w:val="20"/>
          <w:szCs w:val="20"/>
        </w:rPr>
        <w:t xml:space="preserve">II. Literature Review</w:t>
      </w:r>
    </w:p>
    <w:p>
      <w:pPr>
        <w:spacing w:after="60" w:before="120"/>
        <w:ind w:firstLine="0"/>
      </w:pPr>
      <w:r>
        <w:rPr>
          <w:rFonts w:ascii="Times New Roman" w:cs="Times New Roman" w:eastAsia="Times New Roman" w:hAnsi="Times New Roman"/>
          <w:b w:val="false"/>
          <w:bCs w:val="false"/>
          <w:caps w:val="false"/>
          <w:sz w:val="20"/>
          <w:szCs w:val="20"/>
        </w:rPr>
        <w:t xml:space="preserve">A. Classical Segmentation</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Watershed segmentation treats image gradients as a topographic surface and floods regions from seed markers [3]. Applied to vegetation imagery, seed selection based on vegetation indices such as ExG = 2G − R − B [4] provides an unsupervised approach requiring no labelled data. GrabCut [5] extends this paradigm by iteratively refining foreground and background Gaussian mixture models from a user-provided or automatically generated initialisation.</w:t>
      </w:r>
    </w:p>
    <w:p>
      <w:pPr>
        <w:spacing w:after="60" w:before="120"/>
        <w:ind w:firstLine="0"/>
      </w:pPr>
      <w:r>
        <w:rPr>
          <w:rFonts w:ascii="Times New Roman" w:cs="Times New Roman" w:eastAsia="Times New Roman" w:hAnsi="Times New Roman"/>
          <w:b w:val="false"/>
          <w:bCs w:val="false"/>
          <w:caps w:val="false"/>
          <w:sz w:val="20"/>
          <w:szCs w:val="20"/>
        </w:rPr>
        <w:t xml:space="preserve">B. Machine Learning Methods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Pixel-wise classification using handcrafted features has been widely applied to plant segmentation. Features combining colour spaces (RGB, HSV), vegetation indices (ExG, ExGR), and local texture statistics from sliding windows provide rich per-pixel descriptors [2]. Random Forests [6] are a natural classifier choice: they handle high-dimensional inputs, are robust to noise, and produce calibrated probability outputs suitable for threshold tuning.</w:t>
      </w:r>
    </w:p>
    <w:p>
      <w:pPr>
        <w:spacing w:after="60" w:before="120"/>
        <w:ind w:firstLine="0"/>
      </w:pPr>
      <w:r>
        <w:rPr>
          <w:rFonts w:ascii="Times New Roman" w:cs="Times New Roman" w:eastAsia="Times New Roman" w:hAnsi="Times New Roman"/>
          <w:b w:val="false"/>
          <w:bCs w:val="false"/>
          <w:caps w:val="false"/>
          <w:sz w:val="20"/>
          <w:szCs w:val="20"/>
        </w:rPr>
        <w:t xml:space="preserve">C. Deep Learning Methods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U-Net [1], originally proposed for biomedical image segmentation, has become the standard encoder-decoder architecture for dense prediction. Its skip connections preserve fine spatial detail while the bottleneck encodes semantic context. Zenkl et al. [2] applied deep learning to EWS and reported IoU values of 0.85–0.95 for their best models. More recent work by Cao et al. [7] and Zhang et al. [8] demonstrates the effectiveness of depth-informed and foundation-model approaches for crop segmentation.</w:t>
      </w:r>
    </w:p>
    <w:p>
      <w:pPr>
        <w:spacing w:after="80" w:before="160"/>
        <w:ind w:firstLine="0"/>
        <w:jc w:val="center"/>
      </w:pPr>
      <w:r>
        <w:rPr>
          <w:rFonts w:ascii="Times New Roman" w:cs="Times New Roman" w:eastAsia="Times New Roman" w:hAnsi="Times New Roman"/>
          <w:b w:val="false"/>
          <w:bCs w:val="false"/>
          <w:caps/>
          <w:sz w:val="20"/>
          <w:szCs w:val="20"/>
        </w:rPr>
        <w:t xml:space="preserve">III. Methods</w:t>
      </w:r>
    </w:p>
    <w:p>
      <w:pPr>
        <w:spacing w:after="60" w:before="120"/>
        <w:ind w:firstLine="0"/>
      </w:pPr>
      <w:r>
        <w:rPr>
          <w:rFonts w:ascii="Times New Roman" w:cs="Times New Roman" w:eastAsia="Times New Roman" w:hAnsi="Times New Roman"/>
          <w:b w:val="false"/>
          <w:bCs w:val="false"/>
          <w:caps w:val="false"/>
          <w:sz w:val="20"/>
          <w:szCs w:val="20"/>
        </w:rPr>
        <w:t xml:space="preserve">A. Dataset and Experimental Setup</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The EWS dataset contains 190 RGB images (350×350 pixels) captured in a wheat field across an entire growing season from February to May 2017. Images are accompanied by manually annotated binary masks (wheat = 1, soil = 0). We adopt the canonical split: 142 training, 24 validation, and 24 test images. Split disjointness is verified programmatically before every experiment.</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Hyperparameters are tuned exclusively on the validation set; the test set is used only for final evaluation. All metrics (Precision, Recall, F1, IoU, and Pixel Accuracy) are computed per image and averaged. Training and inference times are recorded with wall-clock timing.</w:t>
      </w:r>
    </w:p>
    <w:p>
      <w:pPr>
        <w:spacing w:after="60" w:before="120"/>
        <w:ind w:firstLine="0"/>
      </w:pPr>
      <w:r>
        <w:rPr>
          <w:rFonts w:ascii="Times New Roman" w:cs="Times New Roman" w:eastAsia="Times New Roman" w:hAnsi="Times New Roman"/>
          <w:b w:val="false"/>
          <w:bCs w:val="false"/>
          <w:caps w:val="false"/>
          <w:sz w:val="20"/>
          <w:szCs w:val="20"/>
        </w:rPr>
        <w:t xml:space="preserve">B. Method 1: ExG-guided Watershed</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 1 is a training-free classical approach. A per-pixel vegetation score is computed as a weighted combination of Excess Green (ExG), green dominance, HSV saturation, and Sobel gradient magnitude: S = 1.7·ExG + 0.9·Gₑ + 0.4·Sat − 0.15·|∇|. This score drives percentile-based seed extraction, where pixels in the top and bottom quantiles are labelled as definite foreground and background respectively.</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Seeds initialise scipy watershed_ift (Watershed variant) or OpenCV grabCut. The resulting mask is refined with morphological opening/closing and removal of small connected components. Foreground/background thresholds are tuned via validation grid search; the Watershed configuration is used for all results.</w:t>
      </w:r>
    </w:p>
    <w:p>
      <w:pPr>
        <w:spacing w:after="60" w:before="120"/>
        <w:ind w:firstLine="0"/>
      </w:pPr>
      <w:r>
        <w:rPr>
          <w:rFonts w:ascii="Times New Roman" w:cs="Times New Roman" w:eastAsia="Times New Roman" w:hAnsi="Times New Roman"/>
          <w:b w:val="false"/>
          <w:bCs w:val="false"/>
          <w:caps w:val="false"/>
          <w:sz w:val="20"/>
          <w:szCs w:val="20"/>
        </w:rPr>
        <w:t xml:space="preserve">C. Method 2: Handcrafted Features + Random Forest</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 2 extracts a 28-dimensional feature vector per pixel: raw RGB and HSV (6), chromaticity normalisation (3), local RGB/HSV means over a 9×9 window (6), vegetation indices ExG, ExR, ExGR (3), local ExG statistics (2), greyscale intensity and local statistics (3), and Sobel/ExG gradient magnitudes (2). A RandomForestClassifier (250 trees, max depth 20) is trained on balanced pixel samples. The classification probability threshold is tuned on the validation set to maximise IoU.</w:t>
      </w:r>
    </w:p>
    <w:p>
      <w:pPr>
        <w:spacing w:after="60" w:before="120"/>
        <w:ind w:firstLine="0"/>
      </w:pPr>
      <w:r>
        <w:rPr>
          <w:rFonts w:ascii="Times New Roman" w:cs="Times New Roman" w:eastAsia="Times New Roman" w:hAnsi="Times New Roman"/>
          <w:b w:val="false"/>
          <w:bCs w:val="false"/>
          <w:caps w:val="false"/>
          <w:sz w:val="20"/>
          <w:szCs w:val="20"/>
        </w:rPr>
        <w:t xml:space="preserve">D. Method 3: Lightweight U-Net</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 3 uses a lightweight U-Net with base channel width 16. The encoder applies three double-convolution blocks (Conv–BN–ReLU×2) with 2×2 max pooling, producing feature maps at 16, 32, and 64 channels. A 128-channel bottleneck is followed by a symmetric decoder with bilinear upsampling and skip connections, ending in a 1×1 convolution and sigmoid activation. Training minimises Dice loss + BCE with Adam (lr = 0.001, batch size 4, 20 epochs). Data augmentation includes random flips, brightness/contrast jitter (±10%), and Gaussian noise (σ = 3, 30% probability). The checkpoint with highest validation IoU is retained.</w:t>
      </w:r>
    </w:p>
    <w:p>
      <w:pPr>
        <w:spacing w:after="80" w:before="160"/>
        <w:ind w:firstLine="0"/>
        <w:jc w:val="center"/>
      </w:pPr>
      <w:r>
        <w:rPr>
          <w:rFonts w:ascii="Times New Roman" w:cs="Times New Roman" w:eastAsia="Times New Roman" w:hAnsi="Times New Roman"/>
          <w:b w:val="false"/>
          <w:bCs w:val="false"/>
          <w:caps/>
          <w:sz w:val="20"/>
          <w:szCs w:val="20"/>
        </w:rPr>
        <w:t xml:space="preserve">IV. Experimental Results</w:t>
      </w:r>
    </w:p>
    <w:p>
      <w:pPr>
        <w:spacing w:after="60" w:before="120"/>
        <w:ind w:firstLine="0"/>
      </w:pPr>
      <w:r>
        <w:rPr>
          <w:rFonts w:ascii="Times New Roman" w:cs="Times New Roman" w:eastAsia="Times New Roman" w:hAnsi="Times New Roman"/>
          <w:b w:val="false"/>
          <w:bCs w:val="false"/>
          <w:caps w:val="false"/>
          <w:sz w:val="20"/>
          <w:szCs w:val="20"/>
        </w:rPr>
        <w:t xml:space="preserve">A. Overall Performance Comparison</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Table I reports all five metrics and timing for the three methods on the 24-image test set (PA = Pixel Accuracy, Train = training time, Infer = mean per-image inference time).</w:t>
      </w:r>
    </w:p>
    <w:p>
      <w:pPr>
        <w:spacing w:after="0" w:before="200"/>
        <w:ind w:firstLine="0"/>
        <w:jc w:val="center"/>
      </w:pPr>
      <w:r>
        <w:rPr>
          <w:rFonts w:ascii="Times New Roman" w:cs="Times New Roman" w:eastAsia="Times New Roman" w:hAnsi="Times New Roman"/>
          <w:b w:val="false"/>
          <w:bCs w:val="false"/>
          <w:caps/>
          <w:sz w:val="16"/>
          <w:szCs w:val="16"/>
        </w:rPr>
        <w:t xml:space="preserve">TABLE I</w:t>
      </w:r>
    </w:p>
    <w:p>
      <w:pPr>
        <w:spacing w:after="60" w:before="0"/>
        <w:ind w:firstLine="0"/>
        <w:jc w:val="center"/>
      </w:pPr>
      <w:r>
        <w:rPr>
          <w:rFonts w:ascii="Times New Roman" w:cs="Times New Roman" w:eastAsia="Times New Roman" w:hAnsi="Times New Roman"/>
          <w:b w:val="false"/>
          <w:bCs w:val="false"/>
          <w:caps w:val="false"/>
          <w:sz w:val="16"/>
          <w:szCs w:val="16"/>
        </w:rPr>
        <w:t xml:space="preserve">Test-set performance comparison.</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092"/>
        <w:gridCol w:w="512"/>
        <w:gridCol w:w="512"/>
        <w:gridCol w:w="512"/>
        <w:gridCol w:w="580"/>
        <w:gridCol w:w="512"/>
        <w:gridCol w:w="580"/>
        <w:gridCol w:w="580"/>
      </w:tblGrid>
      <w:tr>
        <w:tc>
          <w:tcPr>
            <w:tcW w:type="dxa" w:w="109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bCs/>
                <w:caps w:val="false"/>
                <w:sz w:val="16"/>
                <w:szCs w:val="16"/>
              </w:rPr>
              <w:t xml:space="preserve">Method</w:t>
            </w:r>
          </w:p>
        </w:tc>
        <w:tc>
          <w:tcPr>
            <w:tcW w:type="dxa" w:w="51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IoU</w:t>
            </w:r>
          </w:p>
        </w:tc>
        <w:tc>
          <w:tcPr>
            <w:tcW w:type="dxa" w:w="51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F1</w:t>
            </w:r>
          </w:p>
        </w:tc>
        <w:tc>
          <w:tcPr>
            <w:tcW w:type="dxa" w:w="51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Prec.</w:t>
            </w:r>
          </w:p>
        </w:tc>
        <w:tc>
          <w:tcPr>
            <w:tcW w:type="dxa" w:w="580"/>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Recall</w:t>
            </w:r>
          </w:p>
        </w:tc>
        <w:tc>
          <w:tcPr>
            <w:tcW w:type="dxa" w:w="51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PA</w:t>
            </w:r>
          </w:p>
        </w:tc>
        <w:tc>
          <w:tcPr>
            <w:tcW w:type="dxa" w:w="580"/>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Train(s)</w:t>
            </w:r>
          </w:p>
        </w:tc>
        <w:tc>
          <w:tcPr>
            <w:tcW w:type="dxa" w:w="580"/>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Infer(s)</w:t>
            </w:r>
          </w:p>
        </w:tc>
      </w:tr>
      <w:tr>
        <w:tc>
          <w:tcPr>
            <w:tcW w:type="dxa" w:w="10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Watershed</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0.553</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0.574</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0.585</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0.431</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34</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0.021</w:t>
            </w:r>
          </w:p>
        </w:tc>
      </w:tr>
      <w:tr>
        <w:tc>
          <w:tcPr>
            <w:tcW w:type="dxa" w:w="10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Rand. Forest</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0.850</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0.916</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0.915</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0.926</w:t>
            </w:r>
          </w:p>
        </w:tc>
        <w:tc>
          <w:tcPr>
            <w:tcW w:type="dxa" w:w="51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0.907</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126</w:t>
            </w:r>
          </w:p>
        </w:tc>
        <w:tc>
          <w:tcPr>
            <w:tcW w:type="dxa" w:w="580"/>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0.325</w:t>
            </w:r>
          </w:p>
        </w:tc>
      </w:tr>
      <w:tr>
        <w:tc>
          <w:tcPr>
            <w:tcW w:type="dxa" w:w="109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U-Net</w:t>
            </w:r>
          </w:p>
        </w:tc>
        <w:tc>
          <w:tcPr>
            <w:tcW w:type="dxa" w:w="51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0.874</w:t>
            </w:r>
          </w:p>
        </w:tc>
        <w:tc>
          <w:tcPr>
            <w:tcW w:type="dxa" w:w="51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0.931</w:t>
            </w:r>
          </w:p>
        </w:tc>
        <w:tc>
          <w:tcPr>
            <w:tcW w:type="dxa" w:w="51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0.922</w:t>
            </w:r>
          </w:p>
        </w:tc>
        <w:tc>
          <w:tcPr>
            <w:tcW w:type="dxa" w:w="580"/>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0.941</w:t>
            </w:r>
          </w:p>
        </w:tc>
        <w:tc>
          <w:tcPr>
            <w:tcW w:type="dxa" w:w="51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0.923</w:t>
            </w:r>
          </w:p>
        </w:tc>
        <w:tc>
          <w:tcPr>
            <w:tcW w:type="dxa" w:w="580"/>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119</w:t>
            </w:r>
          </w:p>
        </w:tc>
        <w:tc>
          <w:tcPr>
            <w:tcW w:type="dxa" w:w="580"/>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0.028</w:t>
            </w:r>
          </w:p>
        </w:tc>
      </w:tr>
    </w:tbl>
    <w:p>
      <w:pPr>
        <w:spacing w:after="120" w:before="0"/>
        <w:ind w:firstLine="0"/>
      </w:pP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Methods 2 and 3 substantially outperform the classical baseline. U-Net achieves the highest IoU (0.874) and F1 (0.931) while being 11× faster at inference than Random Forest (0.028 s vs 0.325 s/image). Despite the smaller gap in average IoU, U-Net also trains slightly faster (119 s vs 126 s).</w:t>
      </w:r>
    </w:p>
    <w:p>
      <w:pPr>
        <w:spacing w:after="60" w:before="120"/>
        <w:ind w:firstLine="0"/>
      </w:pPr>
      <w:r>
        <w:rPr>
          <w:rFonts w:ascii="Times New Roman" w:cs="Times New Roman" w:eastAsia="Times New Roman" w:hAnsi="Times New Roman"/>
          <w:b w:val="false"/>
          <w:bCs w:val="false"/>
          <w:caps w:val="false"/>
          <w:sz w:val="20"/>
          <w:szCs w:val="20"/>
        </w:rPr>
        <w:t xml:space="preserve">B. Seasonal Failure Analysis of Method 1</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Per-image analysis reveals a clear temporal pattern in Method 1 performance (Table II). Early-season images (February–March) yield average IoU 0.81, comparable to learning-based methods. From April onwards, as wheat matures and shifts from green to golden-yellow, the ExG-based vegetation score loses discriminative power and IoU collapses to 0.23 by late spring.</w:t>
      </w:r>
    </w:p>
    <w:p>
      <w:pPr>
        <w:spacing w:after="0" w:before="200"/>
        <w:ind w:firstLine="0"/>
        <w:jc w:val="center"/>
      </w:pPr>
      <w:r>
        <w:rPr>
          <w:rFonts w:ascii="Times New Roman" w:cs="Times New Roman" w:eastAsia="Times New Roman" w:hAnsi="Times New Roman"/>
          <w:b w:val="false"/>
          <w:bCs w:val="false"/>
          <w:caps/>
          <w:sz w:val="16"/>
          <w:szCs w:val="16"/>
        </w:rPr>
        <w:t xml:space="preserve">TABLE II</w:t>
      </w:r>
    </w:p>
    <w:p>
      <w:pPr>
        <w:spacing w:after="60" w:before="0"/>
        <w:ind w:firstLine="0"/>
        <w:jc w:val="center"/>
      </w:pPr>
      <w:r>
        <w:rPr>
          <w:rFonts w:ascii="Times New Roman" w:cs="Times New Roman" w:eastAsia="Times New Roman" w:hAnsi="Times New Roman"/>
          <w:b w:val="false"/>
          <w:bCs w:val="false"/>
          <w:caps w:val="false"/>
          <w:sz w:val="16"/>
          <w:szCs w:val="16"/>
        </w:rPr>
        <w:t xml:space="preserve">Seasonal variation in Method 1 IoU (Watershed).</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627"/>
        <w:gridCol w:w="1627"/>
        <w:gridCol w:w="1626"/>
      </w:tblGrid>
      <w:tr>
        <w:tc>
          <w:tcPr>
            <w:tcW w:type="dxa" w:w="1627"/>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bCs/>
                <w:caps w:val="false"/>
                <w:sz w:val="16"/>
                <w:szCs w:val="16"/>
              </w:rPr>
              <w:t xml:space="preserve">Period</w:t>
            </w:r>
          </w:p>
        </w:tc>
        <w:tc>
          <w:tcPr>
            <w:tcW w:type="dxa" w:w="1627"/>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Date Range</w:t>
            </w:r>
          </w:p>
        </w:tc>
        <w:tc>
          <w:tcPr>
            <w:tcW w:type="dxa" w:w="1626"/>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M1 IoU (avg)</w:t>
            </w:r>
          </w:p>
        </w:tc>
      </w:tr>
      <w:tr>
        <w:tc>
          <w:tcPr>
            <w:tcW w:type="dxa" w:w="162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Early season</w:t>
            </w:r>
          </w:p>
        </w:tc>
        <w:tc>
          <w:tcPr>
            <w:tcW w:type="dxa" w:w="162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Feb – Mar</w:t>
            </w:r>
          </w:p>
        </w:tc>
        <w:tc>
          <w:tcPr>
            <w:tcW w:type="dxa" w:w="16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0.81</w:t>
            </w:r>
          </w:p>
        </w:tc>
      </w:tr>
      <w:tr>
        <w:tc>
          <w:tcPr>
            <w:tcW w:type="dxa" w:w="162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Mid season</w:t>
            </w:r>
          </w:p>
        </w:tc>
        <w:tc>
          <w:tcPr>
            <w:tcW w:type="dxa" w:w="1627"/>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Late Mar</w:t>
            </w:r>
          </w:p>
        </w:tc>
        <w:tc>
          <w:tcPr>
            <w:tcW w:type="dxa" w:w="162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0.44</w:t>
            </w:r>
          </w:p>
        </w:tc>
      </w:tr>
      <w:tr>
        <w:tc>
          <w:tcPr>
            <w:tcW w:type="dxa" w:w="1627"/>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Late season</w:t>
            </w:r>
          </w:p>
        </w:tc>
        <w:tc>
          <w:tcPr>
            <w:tcW w:type="dxa" w:w="1627"/>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Apr – May</w:t>
            </w:r>
          </w:p>
        </w:tc>
        <w:tc>
          <w:tcPr>
            <w:tcW w:type="dxa" w:w="1626"/>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0.23</w:t>
            </w:r>
          </w:p>
        </w:tc>
      </w:tr>
    </w:tbl>
    <w:p>
      <w:pPr>
        <w:spacing w:after="120" w:before="0"/>
        <w:ind w:firstLine="0"/>
      </w:pP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Methods 2 and 3 are unaffected by this seasonal shift: both learn appearance-agnostic representations from the full-season training data.</w:t>
      </w:r>
    </w:p>
    <w:p>
      <w:pPr>
        <w:spacing w:after="60" w:before="120"/>
        <w:ind w:firstLine="0"/>
      </w:pPr>
      <w:r>
        <w:rPr>
          <w:rFonts w:ascii="Times New Roman" w:cs="Times New Roman" w:eastAsia="Times New Roman" w:hAnsi="Times New Roman"/>
          <w:b w:val="false"/>
          <w:bCs w:val="false"/>
          <w:caps w:val="false"/>
          <w:sz w:val="20"/>
          <w:szCs w:val="20"/>
        </w:rPr>
        <w:t xml:space="preserve">C. Robustness to Image Distortions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To simulate real-world image degradation, we apply four distortion types to the test set: Gaussian noise (σ = 15 and σ = 40), Gaussian blur (σ = 1.5 and σ = 3.0), brightness reduction (×0.7 and ×0.4), and contrast reduction (×0.7 and ×0.4). Each method is trained once on clean data. Table III also includes M3-R, a U-Net variant trained with strong distortion augmentation (noise σ∼[10,45], blur σ∼[1.0,3.5], brightness/contrast factor∼[0.35,0.75] applied randomly at 70% probability).</w:t>
      </w:r>
    </w:p>
    <w:p>
      <w:pPr>
        <w:spacing w:after="0" w:before="200"/>
        <w:ind w:firstLine="0"/>
        <w:jc w:val="center"/>
      </w:pPr>
      <w:r>
        <w:rPr>
          <w:rFonts w:ascii="Times New Roman" w:cs="Times New Roman" w:eastAsia="Times New Roman" w:hAnsi="Times New Roman"/>
          <w:b w:val="false"/>
          <w:bCs w:val="false"/>
          <w:caps/>
          <w:sz w:val="16"/>
          <w:szCs w:val="16"/>
        </w:rPr>
        <w:t xml:space="preserve">TABLE III</w:t>
      </w:r>
    </w:p>
    <w:p>
      <w:pPr>
        <w:spacing w:after="60" w:before="0"/>
        <w:ind w:firstLine="0"/>
        <w:jc w:val="center"/>
      </w:pPr>
      <w:r>
        <w:rPr>
          <w:rFonts w:ascii="Times New Roman" w:cs="Times New Roman" w:eastAsia="Times New Roman" w:hAnsi="Times New Roman"/>
          <w:b w:val="false"/>
          <w:bCs w:val="false"/>
          <w:caps w:val="false"/>
          <w:sz w:val="16"/>
          <w:szCs w:val="16"/>
        </w:rPr>
        <w:t xml:space="preserve">IoU under image distortions. M3-R = U-Net with distortion augmentation.</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1811"/>
        <w:gridCol w:w="746"/>
        <w:gridCol w:w="746"/>
        <w:gridCol w:w="746"/>
        <w:gridCol w:w="831"/>
      </w:tblGrid>
      <w:tr>
        <w:tc>
          <w:tcPr>
            <w:tcW w:type="dxa" w:w="1811"/>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bCs/>
                <w:caps w:val="false"/>
                <w:sz w:val="16"/>
                <w:szCs w:val="16"/>
              </w:rPr>
              <w:t xml:space="preserve">Distortion</w:t>
            </w:r>
          </w:p>
        </w:tc>
        <w:tc>
          <w:tcPr>
            <w:tcW w:type="dxa" w:w="746"/>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M1</w:t>
            </w:r>
          </w:p>
        </w:tc>
        <w:tc>
          <w:tcPr>
            <w:tcW w:type="dxa" w:w="746"/>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M2</w:t>
            </w:r>
          </w:p>
        </w:tc>
        <w:tc>
          <w:tcPr>
            <w:tcW w:type="dxa" w:w="746"/>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M3</w:t>
            </w:r>
          </w:p>
        </w:tc>
        <w:tc>
          <w:tcPr>
            <w:tcW w:type="dxa" w:w="831"/>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M3-R</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Clean (baseline)</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0.850</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0.874</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0.861</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Noise σ=15</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0.474</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0.733</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0.831</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0.838</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Noise σ=40</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0.541</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0.672</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0.728</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0.772</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Blur σ=1.5</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0.399</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0.838</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0.864</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0.854</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Blur σ=3.0</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0.389</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0.798</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0.815</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0.833</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Brightness ×0.7</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0.424</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0.814</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0.844</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0.806</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Brightness ×0.4</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0.448</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0.723</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0.739</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0.697</w:t>
            </w:r>
          </w:p>
        </w:tc>
      </w:tr>
      <w:tr>
        <w:tc>
          <w:tcPr>
            <w:tcW w:type="dxa" w:w="181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Contrast ×0.7</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0.417</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0.820</w:t>
            </w:r>
          </w:p>
        </w:tc>
        <w:tc>
          <w:tcPr>
            <w:tcW w:type="dxa" w:w="746"/>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0.831</w:t>
            </w:r>
          </w:p>
        </w:tc>
        <w:tc>
          <w:tcPr>
            <w:tcW w:type="dxa" w:w="83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0.844</w:t>
            </w:r>
          </w:p>
        </w:tc>
      </w:tr>
      <w:tr>
        <w:tc>
          <w:tcPr>
            <w:tcW w:type="dxa" w:w="1811"/>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left"/>
            </w:pPr>
            <w:r>
              <w:rPr>
                <w:rFonts w:ascii="Times New Roman" w:cs="Times New Roman" w:eastAsia="Times New Roman" w:hAnsi="Times New Roman"/>
                <w:b w:val="false"/>
                <w:bCs w:val="false"/>
                <w:caps w:val="false"/>
                <w:sz w:val="16"/>
                <w:szCs w:val="16"/>
              </w:rPr>
              <w:t xml:space="preserve">Contrast ×0.4</w:t>
            </w:r>
          </w:p>
        </w:tc>
        <w:tc>
          <w:tcPr>
            <w:tcW w:type="dxa" w:w="746"/>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0.424</w:t>
            </w:r>
          </w:p>
        </w:tc>
        <w:tc>
          <w:tcPr>
            <w:tcW w:type="dxa" w:w="746"/>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0.648</w:t>
            </w:r>
          </w:p>
        </w:tc>
        <w:tc>
          <w:tcPr>
            <w:tcW w:type="dxa" w:w="746"/>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0.596</w:t>
            </w:r>
          </w:p>
        </w:tc>
        <w:tc>
          <w:tcPr>
            <w:tcW w:type="dxa" w:w="831"/>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0.762</w:t>
            </w:r>
          </w:p>
        </w:tc>
      </w:tr>
    </w:tbl>
    <w:p>
      <w:pPr>
        <w:spacing w:after="120" w:before="0"/>
        <w:ind w:firstLine="0"/>
      </w:pP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Among the clean-trained models, U-Net (M3) is most robust in 8 of 9 conditions. The sole exception is extreme contrast reduction (×0.4), where Random Forest (0.648) outperforms baseline U-Net (0.596). The distortion-augmented variant M3-R directly addresses this weakness: its IoU under extreme contrast rises to 0.762 (+0.166 over M3), reclaiming the top position. M3-R also improves over M3 on noise and blur conditions. The trade-off is a small clean-data IoU drop (0.874 → 0.861) and reduced brightness robustness, a classic accuracy–robustness trade-off.</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A counter-intuitive result is that Method 1 improves under noise: IoU rises from 0.415 (clean) to 0.541 (σ = 40). Adding noise disrupts the uniform low-ExG texture of mature golden wheat, artificially restoring ExG variance that the vegetation score can exploit.</w:t>
      </w:r>
    </w:p>
    <w:p>
      <w:pPr>
        <w:spacing w:after="60" w:before="120"/>
        <w:ind w:firstLine="0"/>
      </w:pPr>
      <w:r>
        <w:rPr>
          <w:rFonts w:ascii="Times New Roman" w:cs="Times New Roman" w:eastAsia="Times New Roman" w:hAnsi="Times New Roman"/>
          <w:b w:val="false"/>
          <w:bCs w:val="false"/>
          <w:caps w:val="false"/>
          <w:sz w:val="20"/>
          <w:szCs w:val="20"/>
        </w:rPr>
        <w:t xml:space="preserve">D. Training Data Efficiency</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We train Methods 2 and 3 on random subsets of 25%, 50%, 75%, and 100% of the 142 training images, evaluating on the full test set each time. Method 1 serves as a data-independent baseline (Table IV).</w:t>
      </w:r>
    </w:p>
    <w:p>
      <w:pPr>
        <w:spacing w:after="0" w:before="200"/>
        <w:ind w:firstLine="0"/>
        <w:jc w:val="center"/>
      </w:pPr>
      <w:r>
        <w:rPr>
          <w:rFonts w:ascii="Times New Roman" w:cs="Times New Roman" w:eastAsia="Times New Roman" w:hAnsi="Times New Roman"/>
          <w:b w:val="false"/>
          <w:bCs w:val="false"/>
          <w:caps/>
          <w:sz w:val="16"/>
          <w:szCs w:val="16"/>
        </w:rPr>
        <w:t xml:space="preserve">TABLE IV</w:t>
      </w:r>
    </w:p>
    <w:p>
      <w:pPr>
        <w:spacing w:after="60" w:before="0"/>
        <w:ind w:firstLine="0"/>
        <w:jc w:val="center"/>
      </w:pPr>
      <w:r>
        <w:rPr>
          <w:rFonts w:ascii="Times New Roman" w:cs="Times New Roman" w:eastAsia="Times New Roman" w:hAnsi="Times New Roman"/>
          <w:b w:val="false"/>
          <w:bCs w:val="false"/>
          <w:caps w:val="false"/>
          <w:sz w:val="16"/>
          <w:szCs w:val="16"/>
        </w:rPr>
        <w:t xml:space="preserve">IoU vs. training data fraction.</w:t>
      </w:r>
    </w:p>
    <w:tbl>
      <w:tblPr>
        <w:tblW w:type="dxa" w:w="4880"/>
        <w:tblBorders>
          <w:top w:val="single" w:color="auto" w:sz="4"/>
          <w:left w:val="single" w:color="auto" w:sz="4"/>
          <w:bottom w:val="single" w:color="auto" w:sz="4"/>
          <w:right w:val="single" w:color="auto" w:sz="4"/>
          <w:insideH w:val="single" w:color="auto" w:sz="4"/>
          <w:insideV w:val="single" w:color="auto" w:sz="4"/>
        </w:tblBorders>
      </w:tblPr>
      <w:tblGrid>
        <w:gridCol w:w="901"/>
        <w:gridCol w:w="701"/>
        <w:gridCol w:w="1093"/>
        <w:gridCol w:w="1093"/>
        <w:gridCol w:w="1092"/>
      </w:tblGrid>
      <w:tr>
        <w:tc>
          <w:tcPr>
            <w:tcW w:type="dxa" w:w="901"/>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Fraction</w:t>
            </w:r>
          </w:p>
        </w:tc>
        <w:tc>
          <w:tcPr>
            <w:tcW w:type="dxa" w:w="701"/>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N</w:t>
            </w:r>
          </w:p>
        </w:tc>
        <w:tc>
          <w:tcPr>
            <w:tcW w:type="dxa" w:w="1093"/>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M1 IoU</w:t>
            </w:r>
          </w:p>
        </w:tc>
        <w:tc>
          <w:tcPr>
            <w:tcW w:type="dxa" w:w="1093"/>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M2 IoU</w:t>
            </w:r>
          </w:p>
        </w:tc>
        <w:tc>
          <w:tcPr>
            <w:tcW w:type="dxa" w:w="1092"/>
            <w:tcBorders>
              <w:top w:val="single" w:color="000000" w:sz="12"/>
              <w:left w:val="none" w:color="FFFFFF" w:sz="0"/>
              <w:bottom w:val="single" w:color="000000" w:sz="4"/>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bCs/>
                <w:caps w:val="false"/>
                <w:sz w:val="16"/>
                <w:szCs w:val="16"/>
              </w:rPr>
              <w:t xml:space="preserve">M3 IoU</w:t>
            </w:r>
          </w:p>
        </w:tc>
      </w:tr>
      <w:tr>
        <w:tc>
          <w:tcPr>
            <w:tcW w:type="dxa" w:w="9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25%</w:t>
            </w:r>
          </w:p>
        </w:tc>
        <w:tc>
          <w:tcPr>
            <w:tcW w:type="dxa" w:w="7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35</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0.848</w:t>
            </w:r>
          </w:p>
        </w:tc>
        <w:tc>
          <w:tcPr>
            <w:tcW w:type="dxa" w:w="10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0.852</w:t>
            </w:r>
          </w:p>
        </w:tc>
      </w:tr>
      <w:tr>
        <w:tc>
          <w:tcPr>
            <w:tcW w:type="dxa" w:w="9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50%</w:t>
            </w:r>
          </w:p>
        </w:tc>
        <w:tc>
          <w:tcPr>
            <w:tcW w:type="dxa" w:w="7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71</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0.826</w:t>
            </w:r>
          </w:p>
        </w:tc>
        <w:tc>
          <w:tcPr>
            <w:tcW w:type="dxa" w:w="10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0.867</w:t>
            </w:r>
          </w:p>
        </w:tc>
      </w:tr>
      <w:tr>
        <w:tc>
          <w:tcPr>
            <w:tcW w:type="dxa" w:w="9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75%</w:t>
            </w:r>
          </w:p>
        </w:tc>
        <w:tc>
          <w:tcPr>
            <w:tcW w:type="dxa" w:w="701"/>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106</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1093"/>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0.846</w:t>
            </w:r>
          </w:p>
        </w:tc>
        <w:tc>
          <w:tcPr>
            <w:tcW w:type="dxa" w:w="1092"/>
            <w:tcBorders>
              <w:top w:val="none" w:color="FFFFFF" w:sz="0"/>
              <w:left w:val="none" w:color="FFFFFF" w:sz="0"/>
              <w:bottom w:val="none" w:color="FFFFFF" w:sz="0"/>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0.869</w:t>
            </w:r>
          </w:p>
        </w:tc>
      </w:tr>
      <w:tr>
        <w:tc>
          <w:tcPr>
            <w:tcW w:type="dxa" w:w="901"/>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100%</w:t>
            </w:r>
          </w:p>
        </w:tc>
        <w:tc>
          <w:tcPr>
            <w:tcW w:type="dxa" w:w="701"/>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142</w:t>
            </w:r>
          </w:p>
        </w:tc>
        <w:tc>
          <w:tcPr>
            <w:tcW w:type="dxa" w:w="1093"/>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0.415</w:t>
            </w:r>
          </w:p>
        </w:tc>
        <w:tc>
          <w:tcPr>
            <w:tcW w:type="dxa" w:w="1093"/>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0.850</w:t>
            </w:r>
          </w:p>
        </w:tc>
        <w:tc>
          <w:tcPr>
            <w:tcW w:type="dxa" w:w="1092"/>
            <w:tcBorders>
              <w:top w:val="none" w:color="FFFFFF" w:sz="0"/>
              <w:left w:val="none" w:color="FFFFFF" w:sz="0"/>
              <w:bottom w:val="single" w:color="000000" w:sz="12"/>
              <w:right w:val="none" w:color="FFFFFF" w:sz="0"/>
            </w:tcBorders>
            <w:shd w:fill="FFFFFF" w:val="clear"/>
            <w:tcMar>
              <w:top w:type="dxa" w:w="40"/>
              <w:left w:type="dxa" w:w="80"/>
              <w:bottom w:type="dxa" w:w="40"/>
              <w:right w:type="dxa" w:w="80"/>
            </w:tcMar>
          </w:tcPr>
          <w:p>
            <w:pPr>
              <w:spacing w:after="0" w:before="0" w:line="240"/>
              <w:ind w:firstLine="0"/>
              <w:jc w:val="center"/>
            </w:pPr>
            <w:r>
              <w:rPr>
                <w:rFonts w:ascii="Times New Roman" w:cs="Times New Roman" w:eastAsia="Times New Roman" w:hAnsi="Times New Roman"/>
                <w:b w:val="false"/>
                <w:bCs w:val="false"/>
                <w:caps w:val="false"/>
                <w:sz w:val="16"/>
                <w:szCs w:val="16"/>
              </w:rPr>
              <w:t xml:space="preserve">0.874</w:t>
            </w:r>
          </w:p>
        </w:tc>
      </w:tr>
    </w:tbl>
    <w:p>
      <w:pPr>
        <w:spacing w:after="120" w:before="0"/>
        <w:ind w:firstLine="0"/>
      </w:pP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Both learning-based methods exhibit high data efficiency. U-Net reaches IoU 0.852 with only 35 images (25% of training data), just 0.022 below its full-data score. Random Forest achieves IoU 0.848 at 25% and 0.850 at 100%, indicating that performance saturates quickly. These results are encouraging for deployment scenarios where annotated data is scarce.</w:t>
      </w:r>
    </w:p>
    <w:p>
      <w:pPr>
        <w:spacing w:after="80" w:before="160"/>
        <w:ind w:firstLine="0"/>
        <w:jc w:val="center"/>
      </w:pPr>
      <w:r>
        <w:rPr>
          <w:rFonts w:ascii="Times New Roman" w:cs="Times New Roman" w:eastAsia="Times New Roman" w:hAnsi="Times New Roman"/>
          <w:b w:val="false"/>
          <w:bCs w:val="false"/>
          <w:caps/>
          <w:sz w:val="20"/>
          <w:szCs w:val="20"/>
        </w:rPr>
        <w:t xml:space="preserve">V. Discussion</w:t>
      </w:r>
    </w:p>
    <w:p>
      <w:pPr>
        <w:spacing w:after="60" w:before="120"/>
        <w:ind w:firstLine="0"/>
      </w:pPr>
      <w:r>
        <w:rPr>
          <w:rFonts w:ascii="Times New Roman" w:cs="Times New Roman" w:eastAsia="Times New Roman" w:hAnsi="Times New Roman"/>
          <w:b w:val="false"/>
          <w:bCs w:val="false"/>
          <w:caps w:val="false"/>
          <w:sz w:val="20"/>
          <w:szCs w:val="20"/>
        </w:rPr>
        <w:t xml:space="preserve">A. Method Comparison</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The results confirm the expected performance hierarchy: deep learning &gt; machine learning &gt; classical, with the caveat that all three perform comparably on early-season images where colour-based cues are reliable. U-Net’s practical advantage lies not only in slightly higher IoU but in its substantially faster inference, making it the preferred choice for large-scale field monitoring.</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Random Forest achieves a strong IoU of 0.850 using simple features and no GPU, making it a compelling alternative when deep learning infrastructure is unavailable. Its higher inference cost (0.325 s/image) reflects pixel-level feature extraction; feature selection or approximation could reduce this.</w:t>
      </w:r>
    </w:p>
    <w:p>
      <w:pPr>
        <w:spacing w:after="60" w:before="120"/>
        <w:ind w:firstLine="0"/>
      </w:pPr>
      <w:r>
        <w:rPr>
          <w:rFonts w:ascii="Times New Roman" w:cs="Times New Roman" w:eastAsia="Times New Roman" w:hAnsi="Times New Roman"/>
          <w:b w:val="false"/>
          <w:bCs w:val="false"/>
          <w:caps w:val="false"/>
          <w:sz w:val="20"/>
          <w:szCs w:val="20"/>
        </w:rPr>
        <w:t xml:space="preserve">B. Failure Cases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 1 fails systematically on mature wheat. Qualitative inspection of late-season images shows that golden wheat has lower green channel dominance than young green shoots, causing the ExG score to assign near-zero vegetation probability to large foreground regions. Incorporating near-infrared (NIR) reflectance or season-invariant texture features could remedy this.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Methods 2 and 3 occasionally fail on images with heavy shadows or out-of-focus regions near image boundaries, corresponding to the lowest per-sample IoU values in the per-sample metrics records.</w:t>
      </w:r>
    </w:p>
    <w:p>
      <w:pPr>
        <w:spacing w:after="60" w:before="120"/>
        <w:ind w:firstLine="0"/>
      </w:pPr>
      <w:r>
        <w:rPr>
          <w:rFonts w:ascii="Times New Roman" w:cs="Times New Roman" w:eastAsia="Times New Roman" w:hAnsi="Times New Roman"/>
          <w:b w:val="false"/>
          <w:bCs w:val="false"/>
          <w:caps w:val="false"/>
          <w:sz w:val="20"/>
          <w:szCs w:val="20"/>
        </w:rPr>
        <w:t xml:space="preserve">C. Limitations</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The U-Net used here is lightweight (base channels = 16) to support CPU training. Increasing model capacity or training for more epochs would likely push IoU above 0.90, approaching state-of-the-art values reported for this dataset. Additionally, the distortion-augmented variant M3-R improves contrast and noise robustness but shows reduced brightness robustness, suggesting the augmentation distribution could be further tuned (e.g., increasing brightness distortion frequency). A curriculum strategy that gradually increases distortion severity may also reduce the small clean-data accuracy trade-off (0.874 → 0.861).</w:t>
      </w:r>
    </w:p>
    <w:p>
      <w:pPr>
        <w:spacing w:after="80" w:before="160"/>
        <w:ind w:firstLine="0"/>
        <w:jc w:val="center"/>
      </w:pPr>
      <w:r>
        <w:rPr>
          <w:rFonts w:ascii="Times New Roman" w:cs="Times New Roman" w:eastAsia="Times New Roman" w:hAnsi="Times New Roman"/>
          <w:b w:val="false"/>
          <w:bCs w:val="false"/>
          <w:caps/>
          <w:sz w:val="20"/>
          <w:szCs w:val="20"/>
        </w:rPr>
        <w:t xml:space="preserve">VI. Conclusion</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We presented a systematic comparison of three wheat segmentation methods on the EWS dataset. The classical Watershed method, while fast and parameter-free, fails for mature wheat due to its reliance on green-colour cues (IoU 0.415 overall, dropping to 0.23 in late spring). The Random Forest achieves IoU 0.850, largely insensitive to training-set size. U-Net achieves the best overall performance (IoU 0.874) with superior distortion robustness and the fastest inference.</w:t>
      </w:r>
    </w:p>
    <w:p>
      <w:pPr>
        <w:spacing w:after="120" w:before="0" w:line="240" w:lineRule="auto"/>
        <w:ind w:firstLine="288"/>
        <w:jc w:val="both"/>
      </w:pPr>
      <w:r>
        <w:rPr>
          <w:rFonts w:ascii="Times New Roman" w:cs="Times New Roman" w:eastAsia="Times New Roman" w:hAnsi="Times New Roman"/>
          <w:b w:val="false"/>
          <w:bCs w:val="false"/>
          <w:caps w:val="false"/>
          <w:sz w:val="20"/>
          <w:szCs w:val="20"/>
        </w:rPr>
        <w:t xml:space="preserve">Key findings: (1) a clear seasonal failure mode in classical colour-based segmentation; (2) counter-intuitive robustness gain of ExG under Gaussian noise; (3) distortion augmentation recovers the extreme-contrast weakness of U-Net (IoU 0.596 → 0.762, +0.166) with a small clean-data cost (−0.013); and (4) high data efficiency for both learning-based methods. Future work should explore season-invariant features, curriculum distortion training, and semi-supervised approaches to further reduce annotation requirements.</w:t>
      </w:r>
    </w:p>
    <w:p>
      <w:pPr>
        <w:spacing w:after="80" w:before="160"/>
        <w:ind w:firstLine="0"/>
        <w:jc w:val="center"/>
      </w:pPr>
      <w:r>
        <w:rPr>
          <w:rFonts w:ascii="Times New Roman" w:cs="Times New Roman" w:eastAsia="Times New Roman" w:hAnsi="Times New Roman"/>
          <w:b w:val="false"/>
          <w:bCs w:val="false"/>
          <w:caps/>
          <w:sz w:val="20"/>
          <w:szCs w:val="20"/>
        </w:rPr>
        <w:t xml:space="preserve">VII. References</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[1]	O. Ronneberger, P. Fischer, and T. Brox, “U-Net: Convolutional networks for biomedical image segmentation,” in Proc. MICCAI, 2015, pp. 234–241.</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[2]	R. Zenkl et al., “Outdoor plant segmentation with deep learning for high-throughput field phenotyping on a diverse wheat dataset,” Front. Plant Sci., vol. 12, p. 774068, 2022.</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[3]	L. Vincent and P. Soille, “Watersheds in digital spaces: An efficient algorithm based on immersion simulations,” IEEE Trans. Pattern Anal. Mach. Intell., vol. 13, no. 6, pp. 583–598, 1991.</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[4]	T. Woebbecke et al., “Color indices for weed identification under various soil, residue, and lighting conditions,” Trans. ASAE, vol. 38, no. 1, pp. 259–269, 1995.</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[5]	C. Rother, V. Kolmogorov, and A. Blake, “GrabCut: Interactive foreground extraction using iterated graph cuts,” ACM Trans. Graph., vol. 23, no. 3, pp. 309–314, 2004.</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[6]	L. Breiman, “Random forests,” Mach. Learn., vol. 45, no. 1, pp. 5–32, 2001.</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[7]	S. Cao et al., “The blessing of Depth Anything: An almost unsupervised approach to crop segmentation with depth-informed pseudo labeling,” Plant Phenomics, vol. 7, no. 1, p. 100005, 2025.</w:t>
      </w:r>
    </w:p>
    <w:p>
      <w:pPr>
        <w:spacing w:after="60" w:before="0"/>
        <w:ind w:left="320" w:hanging="320" w:firstLine="0"/>
      </w:pPr>
      <w:r>
        <w:rPr>
          <w:rFonts w:ascii="Times New Roman" w:cs="Times New Roman" w:eastAsia="Times New Roman" w:hAnsi="Times New Roman"/>
          <w:b w:val="false"/>
          <w:bCs w:val="false"/>
          <w:caps w:val="false"/>
          <w:sz w:val="16"/>
          <w:szCs w:val="16"/>
        </w:rPr>
        <w:t xml:space="preserve">[8]	Y. Zhang et al., “DepthCropSeg++: Scaling a crop segmentation foundation model with depth-labeled data,” IEEE J. Sel. Topics Signal Process., 2026.</w:t>
      </w:r>
    </w:p>
    <w:p>
      <w:pPr>
        <w:spacing w:after="200" w:before="0"/>
        <w:ind w:firstLine="0"/>
      </w:pPr>
    </w:p>
    <w:sectPr>
      <w:type w:val="continuous"/>
      <w:pgSz w:w="11906" w:h="16838" w:orient="portrait"/>
      <w:pgMar w:top="1080" w:right="893" w:bottom="1440" w:left="893"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0"/>
      <w:jc w:val="center"/>
    </w:pPr>
    <w:r>
      <w:rPr>
        <w:rFonts w:ascii="Times New Roman" w:cs="Times New Roman" w:eastAsia="Times New Roman" w:hAnsi="Times New Roman"/>
        <w:b w:val="false"/>
        <w:bCs w:val="false"/>
        <w:caps w:val="false"/>
        <w:sz w:val="16"/>
        <w:szCs w:val="16"/>
      </w:rPr>
      <w:t xml:space="preserve">COMP9517 Computer Vision — UNSW 2026 T1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2026-04-16T05:13:16.466Z</dcterms:created>
  <dcterms:modified xsi:type="dcterms:W3CDTF">2026-04-16T05:13:16.470Z</dcterms:modified>
</cp:coreProperties>
</file>

<file path=docProps/custom.xml><?xml version="1.0" encoding="utf-8"?>
<Properties xmlns="http://schemas.openxmlformats.org/officeDocument/2006/custom-properties" xmlns:vt="http://schemas.openxmlformats.org/officeDocument/2006/docPropsVTypes"/>
</file>