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25FC5" w14:textId="2B86985F" w:rsidR="001F357D" w:rsidRPr="00C14F06" w:rsidRDefault="00D15059" w:rsidP="00D15059">
      <w:pPr>
        <w:pStyle w:val="Heading1"/>
        <w:rPr>
          <w:rFonts w:asciiTheme="minorHAnsi" w:hAnsiTheme="minorHAnsi" w:cstheme="minorHAnsi"/>
          <w:lang w:val="en-US"/>
        </w:rPr>
      </w:pPr>
      <w:r w:rsidRPr="00C14F06">
        <w:rPr>
          <w:rFonts w:asciiTheme="minorHAnsi" w:hAnsiTheme="minorHAnsi" w:cstheme="minorHAnsi"/>
          <w:lang w:val="en-US"/>
        </w:rPr>
        <w:t>Introduction</w:t>
      </w:r>
    </w:p>
    <w:p w14:paraId="695A640D" w14:textId="7879E931" w:rsidR="00D15059" w:rsidRPr="00C14F06" w:rsidRDefault="00D15059" w:rsidP="00D15059">
      <w:pPr>
        <w:rPr>
          <w:rFonts w:cstheme="minorHAnsi"/>
          <w:lang w:val="en-US"/>
        </w:rPr>
      </w:pPr>
      <w:r w:rsidRPr="00C14F06">
        <w:rPr>
          <w:rFonts w:cstheme="minorHAnsi"/>
          <w:lang w:val="en-US"/>
        </w:rPr>
        <w:t>Once regarded as a rising star in India's banking industry, Yes Bank's collapse exposed weaknesses in risk management and regulatory control and signaled a turning point in the financial markets. This project investigates the causes of the collapse, the function of regulatory frameworks including Basel III standards, and the action of the RBI. Additionally, the study examines how norms have changed since the collapse and assesses if these changes are enough to avert future crises of a similar nature.</w:t>
      </w:r>
    </w:p>
    <w:p w14:paraId="624A0EA2" w14:textId="766E2138" w:rsidR="00D15059" w:rsidRPr="00C14F06" w:rsidRDefault="00D15059" w:rsidP="00D15059">
      <w:pPr>
        <w:pStyle w:val="Heading1"/>
        <w:rPr>
          <w:rFonts w:asciiTheme="minorHAnsi" w:hAnsiTheme="minorHAnsi" w:cstheme="minorHAnsi"/>
        </w:rPr>
      </w:pPr>
      <w:r w:rsidRPr="00C14F06">
        <w:rPr>
          <w:rFonts w:asciiTheme="minorHAnsi" w:hAnsiTheme="minorHAnsi" w:cstheme="minorHAnsi"/>
        </w:rPr>
        <w:t>Yes Bank: A Timeline of Events</w:t>
      </w:r>
    </w:p>
    <w:p w14:paraId="38122917" w14:textId="77777777" w:rsidR="00D15059" w:rsidRPr="00D15059" w:rsidRDefault="00D15059" w:rsidP="00D15059">
      <w:pPr>
        <w:rPr>
          <w:rFonts w:cstheme="minorHAnsi"/>
        </w:rPr>
      </w:pPr>
      <w:r w:rsidRPr="00D15059">
        <w:rPr>
          <w:rFonts w:cstheme="minorHAnsi"/>
        </w:rPr>
        <w:t>Yes Bank, founded in 2004, grew swiftly by focusing on corporate lending, eventually becoming India's fourth largest private sector bank in 2019. But because of its aggressive lending methods, particularly in high-risk industries like infrastructure and real estate, a pile of non-performing assets (NPAs) developed, which ultimately caused a liquidity crunch and regulatory intervention in 2020.</w:t>
      </w:r>
    </w:p>
    <w:p w14:paraId="6562AAA0" w14:textId="77777777" w:rsidR="00D15059" w:rsidRPr="00D15059" w:rsidRDefault="00D15059" w:rsidP="00D15059">
      <w:pPr>
        <w:rPr>
          <w:rFonts w:cstheme="minorHAnsi"/>
          <w:b/>
          <w:bCs/>
        </w:rPr>
      </w:pPr>
      <w:r w:rsidRPr="00D15059">
        <w:rPr>
          <w:rFonts w:cstheme="minorHAnsi"/>
          <w:b/>
          <w:bCs/>
        </w:rPr>
        <w:t>Key Events Leading to the Collapse:</w:t>
      </w:r>
    </w:p>
    <w:p w14:paraId="1538A028" w14:textId="77777777" w:rsidR="00D15059" w:rsidRPr="00D15059" w:rsidRDefault="00D15059" w:rsidP="00D15059">
      <w:pPr>
        <w:numPr>
          <w:ilvl w:val="0"/>
          <w:numId w:val="1"/>
        </w:numPr>
        <w:rPr>
          <w:rFonts w:cstheme="minorHAnsi"/>
        </w:rPr>
      </w:pPr>
      <w:r w:rsidRPr="00D15059">
        <w:rPr>
          <w:rFonts w:cstheme="minorHAnsi"/>
        </w:rPr>
        <w:t>2015-2018: Yes Bank aggressively lends to high-risk sectors, under-reporting NPAs during RBI’s Asset Quality Review (AQR).</w:t>
      </w:r>
    </w:p>
    <w:p w14:paraId="3864E4D1" w14:textId="77777777" w:rsidR="00D15059" w:rsidRPr="00D15059" w:rsidRDefault="00D15059" w:rsidP="00D15059">
      <w:pPr>
        <w:numPr>
          <w:ilvl w:val="0"/>
          <w:numId w:val="1"/>
        </w:numPr>
        <w:rPr>
          <w:rFonts w:cstheme="minorHAnsi"/>
        </w:rPr>
      </w:pPr>
      <w:r w:rsidRPr="00D15059">
        <w:rPr>
          <w:rFonts w:cstheme="minorHAnsi"/>
        </w:rPr>
        <w:t>2019: Yes Bank’s credit rating is downgraded due to its growing NPA crisis.</w:t>
      </w:r>
    </w:p>
    <w:p w14:paraId="11AAE7F1" w14:textId="77777777" w:rsidR="00D15059" w:rsidRDefault="00D15059" w:rsidP="00D15059">
      <w:pPr>
        <w:numPr>
          <w:ilvl w:val="0"/>
          <w:numId w:val="1"/>
        </w:numPr>
        <w:rPr>
          <w:rFonts w:cstheme="minorHAnsi"/>
        </w:rPr>
      </w:pPr>
      <w:r w:rsidRPr="00D15059">
        <w:rPr>
          <w:rFonts w:cstheme="minorHAnsi"/>
        </w:rPr>
        <w:t>March 2020: The RBI imposes a moratorium on Yes Bank, capping withdrawals and initiating a bailout plan.</w:t>
      </w:r>
    </w:p>
    <w:p w14:paraId="6D9D04D6" w14:textId="1F6733DF" w:rsidR="00847B97" w:rsidRDefault="00847B97" w:rsidP="00847B97">
      <w:pPr>
        <w:rPr>
          <w:rFonts w:cstheme="minorHAnsi"/>
        </w:rPr>
      </w:pPr>
    </w:p>
    <w:p w14:paraId="05988907" w14:textId="05F8BFD7" w:rsidR="001A4D44" w:rsidRPr="00D15059" w:rsidRDefault="001A4D44" w:rsidP="001A4D44">
      <w:pPr>
        <w:rPr>
          <w:rFonts w:cstheme="minorHAnsi"/>
        </w:rPr>
      </w:pPr>
      <w:r>
        <w:rPr>
          <w:rFonts w:cstheme="minorHAnsi"/>
          <w:noProof/>
        </w:rPr>
        <w:drawing>
          <wp:inline distT="0" distB="0" distL="0" distR="0" wp14:anchorId="3F9C74C8" wp14:editId="3BE52F69">
            <wp:extent cx="5720080" cy="2614930"/>
            <wp:effectExtent l="0" t="0" r="0" b="0"/>
            <wp:docPr id="1156643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2614930"/>
                    </a:xfrm>
                    <a:prstGeom prst="rect">
                      <a:avLst/>
                    </a:prstGeom>
                    <a:noFill/>
                    <a:ln>
                      <a:noFill/>
                    </a:ln>
                  </pic:spPr>
                </pic:pic>
              </a:graphicData>
            </a:graphic>
          </wp:inline>
        </w:drawing>
      </w:r>
    </w:p>
    <w:p w14:paraId="5407E7D8" w14:textId="77777777" w:rsidR="00847B97" w:rsidRDefault="00847B97">
      <w:pPr>
        <w:rPr>
          <w:rFonts w:eastAsiaTheme="majorEastAsia" w:cstheme="minorHAnsi"/>
          <w:color w:val="2F5496" w:themeColor="accent1" w:themeShade="BF"/>
          <w:sz w:val="32"/>
          <w:szCs w:val="32"/>
        </w:rPr>
      </w:pPr>
      <w:r>
        <w:rPr>
          <w:rFonts w:cstheme="minorHAnsi"/>
        </w:rPr>
        <w:br w:type="page"/>
      </w:r>
    </w:p>
    <w:p w14:paraId="16859FDE" w14:textId="7893AAAF" w:rsidR="00D15059" w:rsidRPr="00C14F06" w:rsidRDefault="00C14F06" w:rsidP="00C14F06">
      <w:pPr>
        <w:pStyle w:val="Heading1"/>
        <w:rPr>
          <w:rFonts w:asciiTheme="minorHAnsi" w:hAnsiTheme="minorHAnsi" w:cstheme="minorHAnsi"/>
        </w:rPr>
      </w:pPr>
      <w:r w:rsidRPr="00C14F06">
        <w:rPr>
          <w:rFonts w:asciiTheme="minorHAnsi" w:hAnsiTheme="minorHAnsi" w:cstheme="minorHAnsi"/>
        </w:rPr>
        <w:lastRenderedPageBreak/>
        <w:t>Failure of Basel Norms:</w:t>
      </w:r>
    </w:p>
    <w:p w14:paraId="22EA4A45" w14:textId="77777777" w:rsidR="00847B97" w:rsidRPr="00847B97" w:rsidRDefault="00847B97" w:rsidP="00847B97">
      <w:r w:rsidRPr="00847B97">
        <w:t xml:space="preserve">The </w:t>
      </w:r>
      <w:r w:rsidRPr="00847B97">
        <w:rPr>
          <w:b/>
          <w:bCs/>
        </w:rPr>
        <w:t>Basel III norms</w:t>
      </w:r>
      <w:r w:rsidRPr="00847B97">
        <w:t xml:space="preserve">, introduced to strengthen the banking sector's resilience, require banks to maintain high </w:t>
      </w:r>
      <w:r w:rsidRPr="00847B97">
        <w:rPr>
          <w:b/>
          <w:bCs/>
        </w:rPr>
        <w:t>Capital Adequacy Ratios (CAR)</w:t>
      </w:r>
      <w:r w:rsidRPr="00847B97">
        <w:t xml:space="preserve">, </w:t>
      </w:r>
      <w:r w:rsidRPr="00847B97">
        <w:rPr>
          <w:b/>
          <w:bCs/>
        </w:rPr>
        <w:t>Common Equity Tier 1 (CET1)</w:t>
      </w:r>
      <w:r w:rsidRPr="00847B97">
        <w:t xml:space="preserve"> capital, and adhere to </w:t>
      </w:r>
      <w:r w:rsidRPr="00847B97">
        <w:rPr>
          <w:b/>
          <w:bCs/>
        </w:rPr>
        <w:t>Liquidity Coverage Ratios (LCR)</w:t>
      </w:r>
      <w:r w:rsidRPr="00847B97">
        <w:t>. Yes Bank, however, failed to comply with these norms:</w:t>
      </w:r>
    </w:p>
    <w:p w14:paraId="1130080B" w14:textId="77777777" w:rsidR="00847B97" w:rsidRPr="00847B97" w:rsidRDefault="00847B97" w:rsidP="00847B97">
      <w:pPr>
        <w:numPr>
          <w:ilvl w:val="0"/>
          <w:numId w:val="14"/>
        </w:numPr>
      </w:pPr>
      <w:r w:rsidRPr="00847B97">
        <w:rPr>
          <w:b/>
          <w:bCs/>
        </w:rPr>
        <w:t>Capital Adequacy Ratio (CAR)</w:t>
      </w:r>
      <w:r w:rsidRPr="00847B97">
        <w:t>: Basel III norms mandate a minimum CAR of 10.5% (including a 2.5% capital conservation buffer). By 2019, Yes Bank’s CAR dropped to 8%, well below the threshold, as it struggled with rising NPAs and insufficient capital reserves.</w:t>
      </w:r>
    </w:p>
    <w:p w14:paraId="7AB152B4" w14:textId="77777777" w:rsidR="00847B97" w:rsidRPr="00847B97" w:rsidRDefault="00847B97" w:rsidP="00847B97">
      <w:pPr>
        <w:numPr>
          <w:ilvl w:val="0"/>
          <w:numId w:val="14"/>
        </w:numPr>
      </w:pPr>
      <w:r w:rsidRPr="00847B97">
        <w:rPr>
          <w:b/>
          <w:bCs/>
        </w:rPr>
        <w:t>Liquidity Coverage Ratio (LCR)</w:t>
      </w:r>
      <w:r w:rsidRPr="00847B97">
        <w:t xml:space="preserve">: Basel III also requires banks to maintain sufficient high-quality liquid assets to meet short-term obligations. </w:t>
      </w:r>
      <w:proofErr w:type="gramStart"/>
      <w:r w:rsidRPr="00847B97">
        <w:t>Yes</w:t>
      </w:r>
      <w:proofErr w:type="gramEnd"/>
      <w:r w:rsidRPr="00847B97">
        <w:t xml:space="preserve"> Bank faced severe liquidity issues in 2019-2020, exacerbating the crisis.</w:t>
      </w:r>
    </w:p>
    <w:p w14:paraId="7FBEB2E1" w14:textId="77777777" w:rsidR="00847B97" w:rsidRPr="00847B97" w:rsidRDefault="00847B97" w:rsidP="00847B97">
      <w:pPr>
        <w:rPr>
          <w:b/>
          <w:bCs/>
        </w:rPr>
      </w:pPr>
      <w:r w:rsidRPr="00847B97">
        <w:rPr>
          <w:b/>
          <w:bCs/>
        </w:rPr>
        <w:t>Reasons for Failure of Basel Norms:</w:t>
      </w:r>
    </w:p>
    <w:p w14:paraId="51E16CBB" w14:textId="77777777" w:rsidR="00847B97" w:rsidRPr="00847B97" w:rsidRDefault="00847B97" w:rsidP="00847B97">
      <w:pPr>
        <w:numPr>
          <w:ilvl w:val="0"/>
          <w:numId w:val="15"/>
        </w:numPr>
      </w:pPr>
      <w:r w:rsidRPr="00847B97">
        <w:rPr>
          <w:b/>
          <w:bCs/>
        </w:rPr>
        <w:t>Under-Reporting of NPAs</w:t>
      </w:r>
      <w:r w:rsidRPr="00847B97">
        <w:t xml:space="preserve">: </w:t>
      </w:r>
      <w:proofErr w:type="gramStart"/>
      <w:r w:rsidRPr="00847B97">
        <w:t>Yes</w:t>
      </w:r>
      <w:proofErr w:type="gramEnd"/>
      <w:r w:rsidRPr="00847B97">
        <w:t xml:space="preserve"> Bank under-reported its NPAs in previous years, delaying the recognition of bad loans and distorting its capital adequacy ratios.</w:t>
      </w:r>
    </w:p>
    <w:p w14:paraId="2A35B92F" w14:textId="77777777" w:rsidR="00847B97" w:rsidRDefault="00847B97" w:rsidP="00847B97">
      <w:pPr>
        <w:numPr>
          <w:ilvl w:val="0"/>
          <w:numId w:val="15"/>
        </w:numPr>
      </w:pPr>
      <w:r w:rsidRPr="00847B97">
        <w:rPr>
          <w:b/>
          <w:bCs/>
        </w:rPr>
        <w:t>Poor Risk Management</w:t>
      </w:r>
      <w:r w:rsidRPr="00847B97">
        <w:t>: The bank’s overexposure to risky corporate loans and poor governance practices led to a rapid decline in asset quality.</w:t>
      </w:r>
    </w:p>
    <w:p w14:paraId="3610A415" w14:textId="66091883" w:rsidR="00847B97" w:rsidRDefault="00847B97" w:rsidP="00847B97">
      <w:r>
        <w:rPr>
          <w:rStyle w:val="Strong"/>
        </w:rPr>
        <w:t>Graph</w:t>
      </w:r>
      <w:r>
        <w:t>: A comparison of Yes Bank’s CAR and CET1 ratios versus Basel III requirements and other leading banks (HDFC, SBI) during the same period.</w:t>
      </w:r>
    </w:p>
    <w:p w14:paraId="00AF694B" w14:textId="6BB2FD2C" w:rsidR="00427AC9" w:rsidRPr="00847B97" w:rsidRDefault="00427AC9">
      <w:pPr>
        <w:rPr>
          <w:rFonts w:asciiTheme="majorHAnsi" w:eastAsiaTheme="majorEastAsia" w:hAnsiTheme="majorHAnsi" w:cstheme="majorBidi"/>
          <w:color w:val="2F5496" w:themeColor="accent1" w:themeShade="BF"/>
          <w:sz w:val="32"/>
          <w:szCs w:val="32"/>
        </w:rPr>
      </w:pPr>
      <w:r>
        <w:br w:type="page"/>
      </w:r>
    </w:p>
    <w:p w14:paraId="6C6AB205" w14:textId="3A4CF19A" w:rsidR="008F5174" w:rsidRPr="008F5174" w:rsidRDefault="008F5174" w:rsidP="008F5174">
      <w:pPr>
        <w:pStyle w:val="Heading1"/>
      </w:pPr>
      <w:r w:rsidRPr="008F5174">
        <w:lastRenderedPageBreak/>
        <w:t>Regulatory Failures and RBI's Role</w:t>
      </w:r>
    </w:p>
    <w:p w14:paraId="543C6B5E" w14:textId="77777777" w:rsidR="008F5174" w:rsidRPr="008F5174" w:rsidRDefault="008F5174" w:rsidP="008F5174">
      <w:r w:rsidRPr="008F5174">
        <w:t>Despite the RBI’s Asset Quality Reviews (AQRs) in 2015-16, which identified discrepancies in Yes Bank’s NPA reporting, the lack of timely regulatory intervention allowed the crisis to worsen. The Prompt Corrective Action (PCA) framework, designed to monitor banks showing signs of distress, was not invoked early enough for Yes Bank.</w:t>
      </w:r>
    </w:p>
    <w:p w14:paraId="2CEFD13D" w14:textId="77777777" w:rsidR="008F5174" w:rsidRPr="008F5174" w:rsidRDefault="008F5174" w:rsidP="008F5174">
      <w:pPr>
        <w:rPr>
          <w:b/>
          <w:bCs/>
        </w:rPr>
      </w:pPr>
      <w:r w:rsidRPr="008F5174">
        <w:rPr>
          <w:b/>
          <w:bCs/>
        </w:rPr>
        <w:t>Key Regulatory Failures:</w:t>
      </w:r>
    </w:p>
    <w:p w14:paraId="073ACDB5" w14:textId="77777777" w:rsidR="008F5174" w:rsidRPr="008F5174" w:rsidRDefault="008F5174" w:rsidP="008F5174">
      <w:pPr>
        <w:numPr>
          <w:ilvl w:val="0"/>
          <w:numId w:val="8"/>
        </w:numPr>
      </w:pPr>
      <w:r w:rsidRPr="008F5174">
        <w:rPr>
          <w:b/>
          <w:bCs/>
        </w:rPr>
        <w:t>Delayed Action</w:t>
      </w:r>
      <w:r w:rsidRPr="008F5174">
        <w:t>: The RBI identified the issues in Yes Bank but did not place the bank under the PCA framework until it was too late.</w:t>
      </w:r>
    </w:p>
    <w:p w14:paraId="75F2433C" w14:textId="4E9FC386" w:rsidR="008F5174" w:rsidRDefault="008F5174" w:rsidP="008F5174">
      <w:pPr>
        <w:numPr>
          <w:ilvl w:val="0"/>
          <w:numId w:val="8"/>
        </w:numPr>
      </w:pPr>
      <w:r w:rsidRPr="008F5174">
        <w:rPr>
          <w:b/>
          <w:bCs/>
        </w:rPr>
        <w:t>Governance Failures</w:t>
      </w:r>
      <w:r w:rsidRPr="008F5174">
        <w:t xml:space="preserve">: </w:t>
      </w:r>
      <w:proofErr w:type="gramStart"/>
      <w:r w:rsidRPr="008F5174">
        <w:t>Yes</w:t>
      </w:r>
      <w:proofErr w:type="gramEnd"/>
      <w:r w:rsidRPr="008F5174">
        <w:t xml:space="preserve"> Bank</w:t>
      </w:r>
      <w:r w:rsidR="00097019">
        <w:t xml:space="preserve"> </w:t>
      </w:r>
      <w:r w:rsidRPr="008F5174">
        <w:t>engaged in risky lending practices and poor corporate governance, which went unchecked for years.</w:t>
      </w:r>
    </w:p>
    <w:p w14:paraId="27CB6A0A" w14:textId="633403C3" w:rsidR="00C92E72" w:rsidRDefault="00847B97" w:rsidP="00C92E72">
      <w:r>
        <w:rPr>
          <w:noProof/>
        </w:rPr>
        <w:drawing>
          <wp:inline distT="0" distB="0" distL="0" distR="0" wp14:anchorId="5D81494C" wp14:editId="4A505FB6">
            <wp:extent cx="5853545" cy="3692236"/>
            <wp:effectExtent l="0" t="0" r="13970" b="3810"/>
            <wp:docPr id="1392002815" name="Chart 1">
              <a:extLst xmlns:a="http://schemas.openxmlformats.org/drawingml/2006/main">
                <a:ext uri="{FF2B5EF4-FFF2-40B4-BE49-F238E27FC236}">
                  <a16:creationId xmlns:a16="http://schemas.microsoft.com/office/drawing/2014/main" id="{F1601211-C151-4FB5-9DF3-3AF6277E5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A41C53" w14:textId="5A29E3B9" w:rsidR="00847B97" w:rsidRDefault="00847B97" w:rsidP="00C92E72">
      <w:r w:rsidRPr="00847B97">
        <w:rPr>
          <w:b/>
          <w:bCs/>
        </w:rPr>
        <w:t>Graph</w:t>
      </w:r>
      <w:r w:rsidRPr="00847B97">
        <w:t>: A comparison of Yes Bank’s NPAs with other private sector banks over the years to show its deteriorating asset quality.</w:t>
      </w:r>
    </w:p>
    <w:p w14:paraId="2745F43D" w14:textId="72CDD950" w:rsidR="00427AC9" w:rsidRDefault="00427AC9" w:rsidP="00C92E72">
      <w:pPr>
        <w:rPr>
          <w:noProof/>
        </w:rPr>
      </w:pPr>
      <w:r>
        <w:rPr>
          <w:noProof/>
        </w:rPr>
        <w:lastRenderedPageBreak/>
        <w:drawing>
          <wp:inline distT="0" distB="0" distL="0" distR="0" wp14:anchorId="511341EB" wp14:editId="67D954C1">
            <wp:extent cx="4793673" cy="2701636"/>
            <wp:effectExtent l="0" t="0" r="6985" b="3810"/>
            <wp:docPr id="1321285701" name="Chart 1">
              <a:extLst xmlns:a="http://schemas.openxmlformats.org/drawingml/2006/main">
                <a:ext uri="{FF2B5EF4-FFF2-40B4-BE49-F238E27FC236}">
                  <a16:creationId xmlns:a16="http://schemas.microsoft.com/office/drawing/2014/main" id="{8CF11A8B-7F53-E0DF-E63E-FAC4F419AC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27AC9">
        <w:rPr>
          <w:noProof/>
        </w:rPr>
        <w:t xml:space="preserve"> </w:t>
      </w:r>
      <w:r w:rsidR="00847B97">
        <w:rPr>
          <w:noProof/>
        </w:rPr>
        <w:drawing>
          <wp:inline distT="0" distB="0" distL="0" distR="0" wp14:anchorId="5E16C7D9" wp14:editId="2AFDBE5A">
            <wp:extent cx="4793615" cy="3131127"/>
            <wp:effectExtent l="0" t="0" r="6985" b="12700"/>
            <wp:docPr id="1538256075" name="Chart 1">
              <a:extLst xmlns:a="http://schemas.openxmlformats.org/drawingml/2006/main">
                <a:ext uri="{FF2B5EF4-FFF2-40B4-BE49-F238E27FC236}">
                  <a16:creationId xmlns:a16="http://schemas.microsoft.com/office/drawing/2014/main" id="{8464CCE0-B474-3FB8-F788-AEDA92E96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180EA0C" wp14:editId="5B78573B">
            <wp:extent cx="4793615" cy="2784764"/>
            <wp:effectExtent l="0" t="0" r="6985" b="15875"/>
            <wp:docPr id="930188538" name="Chart 1">
              <a:extLst xmlns:a="http://schemas.openxmlformats.org/drawingml/2006/main">
                <a:ext uri="{FF2B5EF4-FFF2-40B4-BE49-F238E27FC236}">
                  <a16:creationId xmlns:a16="http://schemas.microsoft.com/office/drawing/2014/main" id="{606D97C9-BE84-90F6-4165-F0F21CEE1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2F898A" w14:textId="4F69B2E0" w:rsidR="00427AC9" w:rsidRPr="008F5174" w:rsidRDefault="00427AC9" w:rsidP="00C92E72">
      <w:pPr>
        <w:rPr>
          <w:noProof/>
        </w:rPr>
      </w:pPr>
    </w:p>
    <w:p w14:paraId="74CFEBC5" w14:textId="77777777" w:rsidR="00F57DFF" w:rsidRDefault="00F57DFF" w:rsidP="00F57DFF">
      <w:pPr>
        <w:pStyle w:val="Heading1"/>
      </w:pPr>
      <w:r w:rsidRPr="00F57DFF">
        <w:t>RBI Intervention and Rescue Plan</w:t>
      </w:r>
    </w:p>
    <w:p w14:paraId="744371B5" w14:textId="77777777" w:rsidR="003E1D8A" w:rsidRPr="003E1D8A" w:rsidRDefault="003E1D8A" w:rsidP="003E1D8A">
      <w:r w:rsidRPr="003E1D8A">
        <w:t xml:space="preserve">By March 2020, Yes Bank’s deteriorating financial health prompted the RBI to take drastic action. The central bank imposed a </w:t>
      </w:r>
      <w:r w:rsidRPr="003E1D8A">
        <w:rPr>
          <w:b/>
          <w:bCs/>
        </w:rPr>
        <w:t>30-day moratorium</w:t>
      </w:r>
      <w:r w:rsidRPr="003E1D8A">
        <w:t xml:space="preserve"> on Yes Bank, capping withdrawals and taking control of the bank’s management.</w:t>
      </w:r>
    </w:p>
    <w:p w14:paraId="5A6E1ABF" w14:textId="77777777" w:rsidR="003E1D8A" w:rsidRPr="003E1D8A" w:rsidRDefault="003E1D8A" w:rsidP="003E1D8A">
      <w:pPr>
        <w:rPr>
          <w:b/>
          <w:bCs/>
        </w:rPr>
      </w:pPr>
      <w:r w:rsidRPr="003E1D8A">
        <w:rPr>
          <w:b/>
          <w:bCs/>
        </w:rPr>
        <w:t>Key RBI Actions:</w:t>
      </w:r>
    </w:p>
    <w:p w14:paraId="4D05041A" w14:textId="77777777" w:rsidR="003E1D8A" w:rsidRPr="003E1D8A" w:rsidRDefault="003E1D8A" w:rsidP="003E1D8A">
      <w:pPr>
        <w:numPr>
          <w:ilvl w:val="0"/>
          <w:numId w:val="10"/>
        </w:numPr>
      </w:pPr>
      <w:r w:rsidRPr="003E1D8A">
        <w:rPr>
          <w:b/>
          <w:bCs/>
        </w:rPr>
        <w:t>Moratorium</w:t>
      </w:r>
      <w:r w:rsidRPr="003E1D8A">
        <w:t>: The RBI imposed a cap on withdrawals, limiting depositors to ₹50,000, which shook public confidence.</w:t>
      </w:r>
    </w:p>
    <w:p w14:paraId="547B36CE" w14:textId="77777777" w:rsidR="003E1D8A" w:rsidRPr="003E1D8A" w:rsidRDefault="003E1D8A" w:rsidP="003E1D8A">
      <w:pPr>
        <w:numPr>
          <w:ilvl w:val="0"/>
          <w:numId w:val="10"/>
        </w:numPr>
      </w:pPr>
      <w:r w:rsidRPr="003E1D8A">
        <w:rPr>
          <w:b/>
          <w:bCs/>
        </w:rPr>
        <w:t>Rescue Plan</w:t>
      </w:r>
      <w:r w:rsidRPr="003E1D8A">
        <w:t xml:space="preserve">: A reconstruction plan led by </w:t>
      </w:r>
      <w:r w:rsidRPr="003E1D8A">
        <w:rPr>
          <w:b/>
          <w:bCs/>
        </w:rPr>
        <w:t>State Bank of India (SBI)</w:t>
      </w:r>
      <w:r w:rsidRPr="003E1D8A">
        <w:t xml:space="preserve"> was initiated. SBI, along with other financial institutions, infused ₹10,000 crore into Yes Bank to stabilize its operations.</w:t>
      </w:r>
    </w:p>
    <w:p w14:paraId="15F2631E" w14:textId="77777777" w:rsidR="003E1D8A" w:rsidRPr="003E1D8A" w:rsidRDefault="003E1D8A" w:rsidP="003E1D8A">
      <w:pPr>
        <w:numPr>
          <w:ilvl w:val="0"/>
          <w:numId w:val="10"/>
        </w:numPr>
      </w:pPr>
      <w:r w:rsidRPr="003E1D8A">
        <w:rPr>
          <w:b/>
          <w:bCs/>
        </w:rPr>
        <w:t>New Management</w:t>
      </w:r>
      <w:r w:rsidRPr="003E1D8A">
        <w:t>: The RBI restructured Yes Bank’s board, bringing in new management to restore confidence and ensure regulatory compliance.</w:t>
      </w:r>
    </w:p>
    <w:p w14:paraId="53FFA36C" w14:textId="2E7D78BF" w:rsidR="00F57DFF" w:rsidRDefault="001A4D44" w:rsidP="00F57DFF">
      <w:r>
        <w:rPr>
          <w:noProof/>
        </w:rPr>
        <w:drawing>
          <wp:inline distT="0" distB="0" distL="0" distR="0" wp14:anchorId="1E8E08FC" wp14:editId="1804E32B">
            <wp:extent cx="5991266" cy="2860964"/>
            <wp:effectExtent l="0" t="0" r="0" b="0"/>
            <wp:docPr id="163535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1870" cy="2866028"/>
                    </a:xfrm>
                    <a:prstGeom prst="rect">
                      <a:avLst/>
                    </a:prstGeom>
                    <a:noFill/>
                    <a:ln>
                      <a:noFill/>
                    </a:ln>
                  </pic:spPr>
                </pic:pic>
              </a:graphicData>
            </a:graphic>
          </wp:inline>
        </w:drawing>
      </w:r>
    </w:p>
    <w:p w14:paraId="1B3FE295" w14:textId="7CE431C9" w:rsidR="000C3B4A" w:rsidRDefault="000C3B4A">
      <w:r>
        <w:br w:type="page"/>
      </w:r>
    </w:p>
    <w:p w14:paraId="68276415" w14:textId="77777777" w:rsidR="003E1D8A" w:rsidRDefault="003E1D8A" w:rsidP="00F57DFF">
      <w:pPr>
        <w:pStyle w:val="Heading1"/>
      </w:pPr>
      <w:r w:rsidRPr="003E1D8A">
        <w:lastRenderedPageBreak/>
        <w:t>Changes in Regulations Post Yes Bank Collaps</w:t>
      </w:r>
      <w:r>
        <w:t>e</w:t>
      </w:r>
    </w:p>
    <w:p w14:paraId="7906D40C" w14:textId="77777777" w:rsidR="003E1D8A" w:rsidRPr="003E1D8A" w:rsidRDefault="003E1D8A" w:rsidP="003E1D8A">
      <w:r w:rsidRPr="003E1D8A">
        <w:t xml:space="preserve">The </w:t>
      </w:r>
      <w:r w:rsidRPr="003E1D8A">
        <w:rPr>
          <w:b/>
          <w:bCs/>
        </w:rPr>
        <w:t>Yes Bank collapse</w:t>
      </w:r>
      <w:r w:rsidRPr="003E1D8A">
        <w:t xml:space="preserve"> led to several regulatory reforms aimed at improving governance, risk management, and capital adequacy standards. The RBI, along with other regulatory bodies, introduced several new measures to prevent future crises:</w:t>
      </w:r>
    </w:p>
    <w:p w14:paraId="1601C0FB" w14:textId="77777777" w:rsidR="003E1D8A" w:rsidRPr="003E1D8A" w:rsidRDefault="003E1D8A" w:rsidP="003E1D8A">
      <w:pPr>
        <w:rPr>
          <w:b/>
          <w:bCs/>
        </w:rPr>
      </w:pPr>
      <w:r w:rsidRPr="003E1D8A">
        <w:rPr>
          <w:b/>
          <w:bCs/>
        </w:rPr>
        <w:t>6.1 Stricter Capital Adequacy Requirements:</w:t>
      </w:r>
    </w:p>
    <w:p w14:paraId="5C5510F5" w14:textId="77777777" w:rsidR="003E1D8A" w:rsidRPr="003E1D8A" w:rsidRDefault="003E1D8A" w:rsidP="003E1D8A">
      <w:pPr>
        <w:numPr>
          <w:ilvl w:val="0"/>
          <w:numId w:val="11"/>
        </w:numPr>
      </w:pPr>
      <w:r w:rsidRPr="003E1D8A">
        <w:t xml:space="preserve">After the collapse, the RBI enhanced the focus on capital adequacy and liquidity management, mandating stricter compliance with </w:t>
      </w:r>
      <w:r w:rsidRPr="003E1D8A">
        <w:rPr>
          <w:b/>
          <w:bCs/>
        </w:rPr>
        <w:t>Basel III norms</w:t>
      </w:r>
      <w:r w:rsidRPr="003E1D8A">
        <w:t>.</w:t>
      </w:r>
    </w:p>
    <w:p w14:paraId="4678748D" w14:textId="77777777" w:rsidR="003E1D8A" w:rsidRPr="003E1D8A" w:rsidRDefault="003E1D8A" w:rsidP="003E1D8A">
      <w:pPr>
        <w:numPr>
          <w:ilvl w:val="0"/>
          <w:numId w:val="11"/>
        </w:numPr>
      </w:pPr>
      <w:r w:rsidRPr="003E1D8A">
        <w:t xml:space="preserve">The RBI revised its </w:t>
      </w:r>
      <w:r w:rsidRPr="003E1D8A">
        <w:rPr>
          <w:b/>
          <w:bCs/>
        </w:rPr>
        <w:t>Prompt Corrective Action (PCA) framework</w:t>
      </w:r>
      <w:r w:rsidRPr="003E1D8A">
        <w:t>, introducing tighter triggers for intervention based on capital ratios, NPAs, and leverage ratios.</w:t>
      </w:r>
    </w:p>
    <w:p w14:paraId="161C0E21" w14:textId="77777777" w:rsidR="003E1D8A" w:rsidRPr="003E1D8A" w:rsidRDefault="003E1D8A" w:rsidP="003E1D8A">
      <w:pPr>
        <w:rPr>
          <w:b/>
          <w:bCs/>
        </w:rPr>
      </w:pPr>
      <w:r w:rsidRPr="003E1D8A">
        <w:rPr>
          <w:b/>
          <w:bCs/>
        </w:rPr>
        <w:t>6.2 Governance Reforms:</w:t>
      </w:r>
    </w:p>
    <w:p w14:paraId="4D56D7B6" w14:textId="77777777" w:rsidR="003E1D8A" w:rsidRPr="003E1D8A" w:rsidRDefault="003E1D8A" w:rsidP="003E1D8A">
      <w:pPr>
        <w:numPr>
          <w:ilvl w:val="0"/>
          <w:numId w:val="12"/>
        </w:numPr>
      </w:pPr>
      <w:r w:rsidRPr="003E1D8A">
        <w:t>The RBI issued new governance guidelines in 2021, including limits on the tenure of CEOs and a stronger emphasis on the role of independent directors.</w:t>
      </w:r>
    </w:p>
    <w:p w14:paraId="179E4526" w14:textId="77777777" w:rsidR="003E1D8A" w:rsidRPr="003E1D8A" w:rsidRDefault="003E1D8A" w:rsidP="003E1D8A">
      <w:pPr>
        <w:numPr>
          <w:ilvl w:val="0"/>
          <w:numId w:val="12"/>
        </w:numPr>
      </w:pPr>
      <w:r w:rsidRPr="003E1D8A">
        <w:t>Stricter fit-and-proper criteria for board members were introduced to ensure better oversight.</w:t>
      </w:r>
    </w:p>
    <w:p w14:paraId="2DCF8917" w14:textId="77777777" w:rsidR="003E1D8A" w:rsidRPr="003E1D8A" w:rsidRDefault="003E1D8A" w:rsidP="003E1D8A">
      <w:pPr>
        <w:rPr>
          <w:b/>
          <w:bCs/>
        </w:rPr>
      </w:pPr>
      <w:r w:rsidRPr="003E1D8A">
        <w:rPr>
          <w:b/>
          <w:bCs/>
        </w:rPr>
        <w:t>6.3 Large Exposure Framework (LEF):</w:t>
      </w:r>
    </w:p>
    <w:p w14:paraId="0DCAF95F" w14:textId="77777777" w:rsidR="003E1D8A" w:rsidRDefault="003E1D8A" w:rsidP="003E1D8A">
      <w:pPr>
        <w:numPr>
          <w:ilvl w:val="0"/>
          <w:numId w:val="13"/>
        </w:numPr>
      </w:pPr>
      <w:r w:rsidRPr="003E1D8A">
        <w:t xml:space="preserve">The RBI revised the </w:t>
      </w:r>
      <w:r w:rsidRPr="003E1D8A">
        <w:rPr>
          <w:b/>
          <w:bCs/>
        </w:rPr>
        <w:t>Large Exposure Framework (LEF)</w:t>
      </w:r>
      <w:r w:rsidRPr="003E1D8A">
        <w:t>, placing stricter limits on banks’ exposure to individual borrowers and large corporate groups. This was a direct response to Yes Bank’s overexposure to high-risk corporate loans.</w:t>
      </w:r>
    </w:p>
    <w:p w14:paraId="2955B032" w14:textId="39B2B88E" w:rsidR="00A36289" w:rsidRDefault="00A36289" w:rsidP="00A36289">
      <w:r>
        <w:rPr>
          <w:noProof/>
        </w:rPr>
        <w:drawing>
          <wp:inline distT="0" distB="0" distL="0" distR="0" wp14:anchorId="529DFA1D" wp14:editId="3437FA84">
            <wp:extent cx="5349240" cy="3448050"/>
            <wp:effectExtent l="0" t="0" r="3810" b="0"/>
            <wp:docPr id="550777410" name="Chart 1">
              <a:extLst xmlns:a="http://schemas.openxmlformats.org/drawingml/2006/main">
                <a:ext uri="{FF2B5EF4-FFF2-40B4-BE49-F238E27FC236}">
                  <a16:creationId xmlns:a16="http://schemas.microsoft.com/office/drawing/2014/main" id="{D04FB936-70AE-2AFF-8273-16727FE2F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5F01D2" w14:textId="77777777" w:rsidR="00A36289" w:rsidRDefault="00A36289">
      <w:r>
        <w:br w:type="page"/>
      </w:r>
    </w:p>
    <w:p w14:paraId="750E1E71" w14:textId="77777777" w:rsidR="00A36289" w:rsidRPr="003E1D8A" w:rsidRDefault="00A36289" w:rsidP="00A36289"/>
    <w:p w14:paraId="08086C01" w14:textId="343F80C2" w:rsidR="00097019" w:rsidRDefault="003E1D8A" w:rsidP="003E1D8A">
      <w:pPr>
        <w:pStyle w:val="Heading1"/>
      </w:pPr>
      <w:r w:rsidRPr="003E1D8A">
        <w:t>Conclusion</w:t>
      </w:r>
    </w:p>
    <w:p w14:paraId="7954D04F" w14:textId="77777777" w:rsidR="003E1D8A" w:rsidRPr="003E1D8A" w:rsidRDefault="003E1D8A" w:rsidP="003E1D8A">
      <w:r w:rsidRPr="003E1D8A">
        <w:t xml:space="preserve">The collapse of Yes Bank was a wake-up call for India’s banking sector and regulators. Despite the existence of </w:t>
      </w:r>
      <w:r w:rsidRPr="003E1D8A">
        <w:rPr>
          <w:b/>
          <w:bCs/>
        </w:rPr>
        <w:t>Basel III norms</w:t>
      </w:r>
      <w:r w:rsidRPr="003E1D8A">
        <w:t xml:space="preserve"> and RBI’s </w:t>
      </w:r>
      <w:r w:rsidRPr="003E1D8A">
        <w:rPr>
          <w:b/>
          <w:bCs/>
        </w:rPr>
        <w:t>AQR process</w:t>
      </w:r>
      <w:r w:rsidRPr="003E1D8A">
        <w:t>, the delayed regulatory intervention allowed the crisis to escalate. The collapse revealed significant gaps in governance, risk management, and regulatory oversight. Post-collapse reforms, including stricter capital requirements, improved governance norms, and enhanced regulatory frameworks, aim to prevent future banking failures.</w:t>
      </w:r>
    </w:p>
    <w:p w14:paraId="45C86FD1" w14:textId="77777777" w:rsidR="003E1D8A" w:rsidRPr="003E1D8A" w:rsidRDefault="003E1D8A" w:rsidP="003E1D8A">
      <w:r w:rsidRPr="003E1D8A">
        <w:t>In conclusion, while the reforms have strengthened the Indian banking system, the effectiveness of these measures will depend on their timely implementation and strict adherence by financial institutions.</w:t>
      </w:r>
    </w:p>
    <w:p w14:paraId="79D40674" w14:textId="6F8A7A29" w:rsidR="003E1D8A" w:rsidRPr="003E1D8A" w:rsidRDefault="003E1D8A" w:rsidP="003E1D8A">
      <w:r>
        <w:br w:type="page"/>
      </w:r>
    </w:p>
    <w:p w14:paraId="72ED9930" w14:textId="119FACA1" w:rsidR="00097019" w:rsidRDefault="00097019" w:rsidP="003E1D8A">
      <w:pPr>
        <w:pStyle w:val="Heading1"/>
      </w:pPr>
      <w:r>
        <w:lastRenderedPageBreak/>
        <w:t>References:</w:t>
      </w:r>
    </w:p>
    <w:p w14:paraId="7A8690AD" w14:textId="41C588C8" w:rsidR="00097019" w:rsidRDefault="00097019" w:rsidP="00097019">
      <w:pPr>
        <w:pStyle w:val="ListParagraph"/>
        <w:numPr>
          <w:ilvl w:val="0"/>
          <w:numId w:val="9"/>
        </w:numPr>
      </w:pPr>
      <w:hyperlink r:id="rId12" w:history="1">
        <w:r w:rsidRPr="00557E0A">
          <w:rPr>
            <w:rStyle w:val="Hyperlink"/>
          </w:rPr>
          <w:t>https://premium.capitalmind.in/2017/05/yes-bank-stoops-to-a-new-low-hides-its-npas/</w:t>
        </w:r>
      </w:hyperlink>
    </w:p>
    <w:p w14:paraId="4DB3F7FA" w14:textId="5BCB6853" w:rsidR="000C3B4A" w:rsidRDefault="000C3B4A" w:rsidP="000C3B4A">
      <w:pPr>
        <w:pStyle w:val="ListParagraph"/>
        <w:numPr>
          <w:ilvl w:val="0"/>
          <w:numId w:val="9"/>
        </w:numPr>
      </w:pPr>
      <w:hyperlink r:id="rId13" w:history="1">
        <w:r w:rsidRPr="00557E0A">
          <w:rPr>
            <w:rStyle w:val="Hyperlink"/>
          </w:rPr>
          <w:t>https://www.moneycontrol.com/</w:t>
        </w:r>
      </w:hyperlink>
    </w:p>
    <w:p w14:paraId="0D27B2C1" w14:textId="3A1A675C" w:rsidR="000C3B4A" w:rsidRPr="000C3B4A" w:rsidRDefault="000C3B4A" w:rsidP="000C3B4A">
      <w:pPr>
        <w:pStyle w:val="ListParagraph"/>
        <w:numPr>
          <w:ilvl w:val="0"/>
          <w:numId w:val="9"/>
        </w:numPr>
        <w:rPr>
          <w:rFonts w:cstheme="minorHAnsi"/>
        </w:rPr>
      </w:pPr>
      <w:r w:rsidRPr="000C3B4A">
        <w:rPr>
          <w:rFonts w:cstheme="minorHAnsi"/>
        </w:rPr>
        <w:t>RBI Annual Reports</w:t>
      </w:r>
    </w:p>
    <w:p w14:paraId="0DEBF668" w14:textId="77777777" w:rsidR="000C3B4A" w:rsidRPr="000C3B4A" w:rsidRDefault="000C3B4A" w:rsidP="000C3B4A">
      <w:pPr>
        <w:pStyle w:val="ListParagraph"/>
        <w:numPr>
          <w:ilvl w:val="0"/>
          <w:numId w:val="9"/>
        </w:numPr>
        <w:rPr>
          <w:rFonts w:cstheme="minorHAnsi"/>
        </w:rPr>
      </w:pPr>
      <w:proofErr w:type="gramStart"/>
      <w:r w:rsidRPr="000C3B4A">
        <w:rPr>
          <w:rFonts w:cstheme="minorHAnsi"/>
        </w:rPr>
        <w:t>Yes</w:t>
      </w:r>
      <w:proofErr w:type="gramEnd"/>
      <w:r w:rsidRPr="000C3B4A">
        <w:rPr>
          <w:rFonts w:cstheme="minorHAnsi"/>
        </w:rPr>
        <w:t xml:space="preserve"> Bank Annual Reports</w:t>
      </w:r>
    </w:p>
    <w:p w14:paraId="4C5898C6" w14:textId="59CFA4A3" w:rsidR="000C3B4A" w:rsidRPr="000C3B4A" w:rsidRDefault="000C3B4A" w:rsidP="000C3B4A">
      <w:pPr>
        <w:pStyle w:val="ListParagraph"/>
        <w:numPr>
          <w:ilvl w:val="0"/>
          <w:numId w:val="9"/>
        </w:numPr>
        <w:rPr>
          <w:rFonts w:cstheme="minorHAnsi"/>
        </w:rPr>
      </w:pPr>
      <w:r w:rsidRPr="000C3B4A">
        <w:rPr>
          <w:rFonts w:eastAsia="Times New Roman" w:cstheme="minorHAnsi"/>
          <w:kern w:val="0"/>
          <w:lang w:eastAsia="en-IN"/>
          <w14:ligatures w14:val="none"/>
        </w:rPr>
        <w:t>Basel III Documentation</w:t>
      </w:r>
    </w:p>
    <w:p w14:paraId="0477036F" w14:textId="2E126CBB" w:rsidR="000C3B4A" w:rsidRPr="000C3B4A" w:rsidRDefault="000C3B4A" w:rsidP="000C3B4A">
      <w:pPr>
        <w:pStyle w:val="ListParagraph"/>
        <w:numPr>
          <w:ilvl w:val="0"/>
          <w:numId w:val="9"/>
        </w:numPr>
        <w:rPr>
          <w:rFonts w:cstheme="minorHAnsi"/>
        </w:rPr>
      </w:pPr>
      <w:r w:rsidRPr="000C3B4A">
        <w:rPr>
          <w:rFonts w:eastAsia="Times New Roman" w:cstheme="minorHAnsi"/>
          <w:kern w:val="0"/>
          <w:lang w:eastAsia="en-IN"/>
          <w14:ligatures w14:val="none"/>
        </w:rPr>
        <w:t>PCA Framework</w:t>
      </w:r>
    </w:p>
    <w:p w14:paraId="3D6CFABA" w14:textId="5C2763BF" w:rsidR="000C3B4A" w:rsidRDefault="000C3B4A" w:rsidP="000C3B4A">
      <w:pPr>
        <w:pStyle w:val="ListParagraph"/>
        <w:numPr>
          <w:ilvl w:val="0"/>
          <w:numId w:val="9"/>
        </w:numPr>
        <w:rPr>
          <w:rFonts w:cstheme="minorHAnsi"/>
        </w:rPr>
      </w:pPr>
      <w:r w:rsidRPr="000C3B4A">
        <w:rPr>
          <w:rFonts w:cstheme="minorHAnsi"/>
        </w:rPr>
        <w:t>SEBI Reports</w:t>
      </w:r>
    </w:p>
    <w:p w14:paraId="32A6EE94" w14:textId="042079BA" w:rsidR="000C3B4A" w:rsidRDefault="000C3B4A" w:rsidP="000C3B4A">
      <w:pPr>
        <w:pStyle w:val="ListParagraph"/>
        <w:numPr>
          <w:ilvl w:val="0"/>
          <w:numId w:val="9"/>
        </w:numPr>
        <w:rPr>
          <w:rFonts w:cstheme="minorHAnsi"/>
        </w:rPr>
      </w:pPr>
      <w:r w:rsidRPr="000C3B4A">
        <w:rPr>
          <w:rFonts w:cstheme="minorHAnsi"/>
        </w:rPr>
        <w:t>Press Releases by RBI</w:t>
      </w:r>
    </w:p>
    <w:p w14:paraId="3F8B29C7" w14:textId="68546B27" w:rsidR="000C3B4A" w:rsidRDefault="000C3B4A" w:rsidP="000C3B4A">
      <w:pPr>
        <w:pStyle w:val="ListParagraph"/>
        <w:numPr>
          <w:ilvl w:val="0"/>
          <w:numId w:val="9"/>
        </w:numPr>
        <w:rPr>
          <w:rFonts w:cstheme="minorHAnsi"/>
        </w:rPr>
      </w:pPr>
      <w:r w:rsidRPr="000C3B4A">
        <w:rPr>
          <w:rFonts w:cstheme="minorHAnsi"/>
        </w:rPr>
        <w:t>Press Releases by Ministry of Finance</w:t>
      </w:r>
    </w:p>
    <w:p w14:paraId="0EAD3037" w14:textId="4A74B623" w:rsidR="00A36289" w:rsidRDefault="00A36289" w:rsidP="000C3B4A">
      <w:pPr>
        <w:pStyle w:val="ListParagraph"/>
        <w:numPr>
          <w:ilvl w:val="0"/>
          <w:numId w:val="9"/>
        </w:numPr>
        <w:rPr>
          <w:rFonts w:cstheme="minorHAnsi"/>
        </w:rPr>
      </w:pPr>
      <w:hyperlink r:id="rId14" w:history="1">
        <w:r w:rsidRPr="00557E0A">
          <w:rPr>
            <w:rStyle w:val="Hyperlink"/>
            <w:rFonts w:cstheme="minorHAnsi"/>
          </w:rPr>
          <w:t>https://www.crisilratings.com/en/home/our-business/ratings.html</w:t>
        </w:r>
      </w:hyperlink>
    </w:p>
    <w:p w14:paraId="2B0EEDBD" w14:textId="77777777" w:rsidR="00A36289" w:rsidRPr="000C3B4A" w:rsidRDefault="00A36289" w:rsidP="00A36289">
      <w:pPr>
        <w:pStyle w:val="ListParagraph"/>
        <w:rPr>
          <w:rFonts w:cstheme="minorHAnsi"/>
        </w:rPr>
      </w:pPr>
    </w:p>
    <w:sectPr w:rsidR="00A36289" w:rsidRPr="000C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5E4E"/>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10B6"/>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D79D8"/>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10B4"/>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A22BB"/>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24556"/>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4201D"/>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F571A"/>
    <w:multiLevelType w:val="hybridMultilevel"/>
    <w:tmpl w:val="878E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7519B6"/>
    <w:multiLevelType w:val="hybridMultilevel"/>
    <w:tmpl w:val="19342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1D071A"/>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65E02"/>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B6E63"/>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2DBF"/>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55B8E"/>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749EA"/>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A17A5"/>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03389"/>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B38B5"/>
    <w:multiLevelType w:val="multilevel"/>
    <w:tmpl w:val="968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133196">
    <w:abstractNumId w:val="15"/>
  </w:num>
  <w:num w:numId="2" w16cid:durableId="1227036401">
    <w:abstractNumId w:val="7"/>
  </w:num>
  <w:num w:numId="3" w16cid:durableId="260188999">
    <w:abstractNumId w:val="0"/>
  </w:num>
  <w:num w:numId="4" w16cid:durableId="1462454243">
    <w:abstractNumId w:val="1"/>
  </w:num>
  <w:num w:numId="5" w16cid:durableId="1524174781">
    <w:abstractNumId w:val="17"/>
  </w:num>
  <w:num w:numId="6" w16cid:durableId="729113778">
    <w:abstractNumId w:val="11"/>
  </w:num>
  <w:num w:numId="7" w16cid:durableId="584190563">
    <w:abstractNumId w:val="9"/>
  </w:num>
  <w:num w:numId="8" w16cid:durableId="290788693">
    <w:abstractNumId w:val="4"/>
  </w:num>
  <w:num w:numId="9" w16cid:durableId="791636263">
    <w:abstractNumId w:val="8"/>
  </w:num>
  <w:num w:numId="10" w16cid:durableId="1047027939">
    <w:abstractNumId w:val="12"/>
  </w:num>
  <w:num w:numId="11" w16cid:durableId="993098309">
    <w:abstractNumId w:val="10"/>
  </w:num>
  <w:num w:numId="12" w16cid:durableId="1572934075">
    <w:abstractNumId w:val="14"/>
  </w:num>
  <w:num w:numId="13" w16cid:durableId="249824151">
    <w:abstractNumId w:val="13"/>
  </w:num>
  <w:num w:numId="14" w16cid:durableId="851338538">
    <w:abstractNumId w:val="2"/>
  </w:num>
  <w:num w:numId="15" w16cid:durableId="981424952">
    <w:abstractNumId w:val="6"/>
  </w:num>
  <w:num w:numId="16" w16cid:durableId="950471424">
    <w:abstractNumId w:val="5"/>
  </w:num>
  <w:num w:numId="17" w16cid:durableId="79102795">
    <w:abstractNumId w:val="3"/>
  </w:num>
  <w:num w:numId="18" w16cid:durableId="15622484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B9"/>
    <w:rsid w:val="00097019"/>
    <w:rsid w:val="000C3B4A"/>
    <w:rsid w:val="001A4D44"/>
    <w:rsid w:val="001F357D"/>
    <w:rsid w:val="003E1D8A"/>
    <w:rsid w:val="00427AC9"/>
    <w:rsid w:val="004904E0"/>
    <w:rsid w:val="00847B97"/>
    <w:rsid w:val="008F5174"/>
    <w:rsid w:val="00A36289"/>
    <w:rsid w:val="00C14F06"/>
    <w:rsid w:val="00C92E72"/>
    <w:rsid w:val="00D15059"/>
    <w:rsid w:val="00E021B9"/>
    <w:rsid w:val="00F5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CC80"/>
  <w15:chartTrackingRefBased/>
  <w15:docId w15:val="{39C4D567-B598-4104-BC61-799B2579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50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5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1505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4F06"/>
    <w:pPr>
      <w:ind w:left="720"/>
      <w:contextualSpacing/>
    </w:pPr>
  </w:style>
  <w:style w:type="character" w:customStyle="1" w:styleId="Heading3Char">
    <w:name w:val="Heading 3 Char"/>
    <w:basedOn w:val="DefaultParagraphFont"/>
    <w:link w:val="Heading3"/>
    <w:uiPriority w:val="9"/>
    <w:semiHidden/>
    <w:rsid w:val="008F51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7019"/>
    <w:rPr>
      <w:color w:val="0563C1" w:themeColor="hyperlink"/>
      <w:u w:val="single"/>
    </w:rPr>
  </w:style>
  <w:style w:type="character" w:styleId="UnresolvedMention">
    <w:name w:val="Unresolved Mention"/>
    <w:basedOn w:val="DefaultParagraphFont"/>
    <w:uiPriority w:val="99"/>
    <w:semiHidden/>
    <w:unhideWhenUsed/>
    <w:rsid w:val="00097019"/>
    <w:rPr>
      <w:color w:val="605E5C"/>
      <w:shd w:val="clear" w:color="auto" w:fill="E1DFDD"/>
    </w:rPr>
  </w:style>
  <w:style w:type="paragraph" w:styleId="NormalWeb">
    <w:name w:val="Normal (Web)"/>
    <w:basedOn w:val="Normal"/>
    <w:uiPriority w:val="99"/>
    <w:semiHidden/>
    <w:unhideWhenUsed/>
    <w:rsid w:val="00847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7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5447">
      <w:bodyDiv w:val="1"/>
      <w:marLeft w:val="0"/>
      <w:marRight w:val="0"/>
      <w:marTop w:val="0"/>
      <w:marBottom w:val="0"/>
      <w:divBdr>
        <w:top w:val="none" w:sz="0" w:space="0" w:color="auto"/>
        <w:left w:val="none" w:sz="0" w:space="0" w:color="auto"/>
        <w:bottom w:val="none" w:sz="0" w:space="0" w:color="auto"/>
        <w:right w:val="none" w:sz="0" w:space="0" w:color="auto"/>
      </w:divBdr>
    </w:div>
    <w:div w:id="195850760">
      <w:bodyDiv w:val="1"/>
      <w:marLeft w:val="0"/>
      <w:marRight w:val="0"/>
      <w:marTop w:val="0"/>
      <w:marBottom w:val="0"/>
      <w:divBdr>
        <w:top w:val="none" w:sz="0" w:space="0" w:color="auto"/>
        <w:left w:val="none" w:sz="0" w:space="0" w:color="auto"/>
        <w:bottom w:val="none" w:sz="0" w:space="0" w:color="auto"/>
        <w:right w:val="none" w:sz="0" w:space="0" w:color="auto"/>
      </w:divBdr>
    </w:div>
    <w:div w:id="415975277">
      <w:bodyDiv w:val="1"/>
      <w:marLeft w:val="0"/>
      <w:marRight w:val="0"/>
      <w:marTop w:val="0"/>
      <w:marBottom w:val="0"/>
      <w:divBdr>
        <w:top w:val="none" w:sz="0" w:space="0" w:color="auto"/>
        <w:left w:val="none" w:sz="0" w:space="0" w:color="auto"/>
        <w:bottom w:val="none" w:sz="0" w:space="0" w:color="auto"/>
        <w:right w:val="none" w:sz="0" w:space="0" w:color="auto"/>
      </w:divBdr>
    </w:div>
    <w:div w:id="437454258">
      <w:bodyDiv w:val="1"/>
      <w:marLeft w:val="0"/>
      <w:marRight w:val="0"/>
      <w:marTop w:val="0"/>
      <w:marBottom w:val="0"/>
      <w:divBdr>
        <w:top w:val="none" w:sz="0" w:space="0" w:color="auto"/>
        <w:left w:val="none" w:sz="0" w:space="0" w:color="auto"/>
        <w:bottom w:val="none" w:sz="0" w:space="0" w:color="auto"/>
        <w:right w:val="none" w:sz="0" w:space="0" w:color="auto"/>
      </w:divBdr>
    </w:div>
    <w:div w:id="480003941">
      <w:bodyDiv w:val="1"/>
      <w:marLeft w:val="0"/>
      <w:marRight w:val="0"/>
      <w:marTop w:val="0"/>
      <w:marBottom w:val="0"/>
      <w:divBdr>
        <w:top w:val="none" w:sz="0" w:space="0" w:color="auto"/>
        <w:left w:val="none" w:sz="0" w:space="0" w:color="auto"/>
        <w:bottom w:val="none" w:sz="0" w:space="0" w:color="auto"/>
        <w:right w:val="none" w:sz="0" w:space="0" w:color="auto"/>
      </w:divBdr>
    </w:div>
    <w:div w:id="487523607">
      <w:bodyDiv w:val="1"/>
      <w:marLeft w:val="0"/>
      <w:marRight w:val="0"/>
      <w:marTop w:val="0"/>
      <w:marBottom w:val="0"/>
      <w:divBdr>
        <w:top w:val="none" w:sz="0" w:space="0" w:color="auto"/>
        <w:left w:val="none" w:sz="0" w:space="0" w:color="auto"/>
        <w:bottom w:val="none" w:sz="0" w:space="0" w:color="auto"/>
        <w:right w:val="none" w:sz="0" w:space="0" w:color="auto"/>
      </w:divBdr>
    </w:div>
    <w:div w:id="658190148">
      <w:bodyDiv w:val="1"/>
      <w:marLeft w:val="0"/>
      <w:marRight w:val="0"/>
      <w:marTop w:val="0"/>
      <w:marBottom w:val="0"/>
      <w:divBdr>
        <w:top w:val="none" w:sz="0" w:space="0" w:color="auto"/>
        <w:left w:val="none" w:sz="0" w:space="0" w:color="auto"/>
        <w:bottom w:val="none" w:sz="0" w:space="0" w:color="auto"/>
        <w:right w:val="none" w:sz="0" w:space="0" w:color="auto"/>
      </w:divBdr>
    </w:div>
    <w:div w:id="661155224">
      <w:bodyDiv w:val="1"/>
      <w:marLeft w:val="0"/>
      <w:marRight w:val="0"/>
      <w:marTop w:val="0"/>
      <w:marBottom w:val="0"/>
      <w:divBdr>
        <w:top w:val="none" w:sz="0" w:space="0" w:color="auto"/>
        <w:left w:val="none" w:sz="0" w:space="0" w:color="auto"/>
        <w:bottom w:val="none" w:sz="0" w:space="0" w:color="auto"/>
        <w:right w:val="none" w:sz="0" w:space="0" w:color="auto"/>
      </w:divBdr>
    </w:div>
    <w:div w:id="676421655">
      <w:bodyDiv w:val="1"/>
      <w:marLeft w:val="0"/>
      <w:marRight w:val="0"/>
      <w:marTop w:val="0"/>
      <w:marBottom w:val="0"/>
      <w:divBdr>
        <w:top w:val="none" w:sz="0" w:space="0" w:color="auto"/>
        <w:left w:val="none" w:sz="0" w:space="0" w:color="auto"/>
        <w:bottom w:val="none" w:sz="0" w:space="0" w:color="auto"/>
        <w:right w:val="none" w:sz="0" w:space="0" w:color="auto"/>
      </w:divBdr>
    </w:div>
    <w:div w:id="683358719">
      <w:bodyDiv w:val="1"/>
      <w:marLeft w:val="0"/>
      <w:marRight w:val="0"/>
      <w:marTop w:val="0"/>
      <w:marBottom w:val="0"/>
      <w:divBdr>
        <w:top w:val="none" w:sz="0" w:space="0" w:color="auto"/>
        <w:left w:val="none" w:sz="0" w:space="0" w:color="auto"/>
        <w:bottom w:val="none" w:sz="0" w:space="0" w:color="auto"/>
        <w:right w:val="none" w:sz="0" w:space="0" w:color="auto"/>
      </w:divBdr>
    </w:div>
    <w:div w:id="747381589">
      <w:bodyDiv w:val="1"/>
      <w:marLeft w:val="0"/>
      <w:marRight w:val="0"/>
      <w:marTop w:val="0"/>
      <w:marBottom w:val="0"/>
      <w:divBdr>
        <w:top w:val="none" w:sz="0" w:space="0" w:color="auto"/>
        <w:left w:val="none" w:sz="0" w:space="0" w:color="auto"/>
        <w:bottom w:val="none" w:sz="0" w:space="0" w:color="auto"/>
        <w:right w:val="none" w:sz="0" w:space="0" w:color="auto"/>
      </w:divBdr>
    </w:div>
    <w:div w:id="752287849">
      <w:bodyDiv w:val="1"/>
      <w:marLeft w:val="0"/>
      <w:marRight w:val="0"/>
      <w:marTop w:val="0"/>
      <w:marBottom w:val="0"/>
      <w:divBdr>
        <w:top w:val="none" w:sz="0" w:space="0" w:color="auto"/>
        <w:left w:val="none" w:sz="0" w:space="0" w:color="auto"/>
        <w:bottom w:val="none" w:sz="0" w:space="0" w:color="auto"/>
        <w:right w:val="none" w:sz="0" w:space="0" w:color="auto"/>
      </w:divBdr>
    </w:div>
    <w:div w:id="819077483">
      <w:bodyDiv w:val="1"/>
      <w:marLeft w:val="0"/>
      <w:marRight w:val="0"/>
      <w:marTop w:val="0"/>
      <w:marBottom w:val="0"/>
      <w:divBdr>
        <w:top w:val="none" w:sz="0" w:space="0" w:color="auto"/>
        <w:left w:val="none" w:sz="0" w:space="0" w:color="auto"/>
        <w:bottom w:val="none" w:sz="0" w:space="0" w:color="auto"/>
        <w:right w:val="none" w:sz="0" w:space="0" w:color="auto"/>
      </w:divBdr>
    </w:div>
    <w:div w:id="891039798">
      <w:bodyDiv w:val="1"/>
      <w:marLeft w:val="0"/>
      <w:marRight w:val="0"/>
      <w:marTop w:val="0"/>
      <w:marBottom w:val="0"/>
      <w:divBdr>
        <w:top w:val="none" w:sz="0" w:space="0" w:color="auto"/>
        <w:left w:val="none" w:sz="0" w:space="0" w:color="auto"/>
        <w:bottom w:val="none" w:sz="0" w:space="0" w:color="auto"/>
        <w:right w:val="none" w:sz="0" w:space="0" w:color="auto"/>
      </w:divBdr>
    </w:div>
    <w:div w:id="984776394">
      <w:bodyDiv w:val="1"/>
      <w:marLeft w:val="0"/>
      <w:marRight w:val="0"/>
      <w:marTop w:val="0"/>
      <w:marBottom w:val="0"/>
      <w:divBdr>
        <w:top w:val="none" w:sz="0" w:space="0" w:color="auto"/>
        <w:left w:val="none" w:sz="0" w:space="0" w:color="auto"/>
        <w:bottom w:val="none" w:sz="0" w:space="0" w:color="auto"/>
        <w:right w:val="none" w:sz="0" w:space="0" w:color="auto"/>
      </w:divBdr>
    </w:div>
    <w:div w:id="1295212240">
      <w:bodyDiv w:val="1"/>
      <w:marLeft w:val="0"/>
      <w:marRight w:val="0"/>
      <w:marTop w:val="0"/>
      <w:marBottom w:val="0"/>
      <w:divBdr>
        <w:top w:val="none" w:sz="0" w:space="0" w:color="auto"/>
        <w:left w:val="none" w:sz="0" w:space="0" w:color="auto"/>
        <w:bottom w:val="none" w:sz="0" w:space="0" w:color="auto"/>
        <w:right w:val="none" w:sz="0" w:space="0" w:color="auto"/>
      </w:divBdr>
    </w:div>
    <w:div w:id="1424104257">
      <w:bodyDiv w:val="1"/>
      <w:marLeft w:val="0"/>
      <w:marRight w:val="0"/>
      <w:marTop w:val="0"/>
      <w:marBottom w:val="0"/>
      <w:divBdr>
        <w:top w:val="none" w:sz="0" w:space="0" w:color="auto"/>
        <w:left w:val="none" w:sz="0" w:space="0" w:color="auto"/>
        <w:bottom w:val="none" w:sz="0" w:space="0" w:color="auto"/>
        <w:right w:val="none" w:sz="0" w:space="0" w:color="auto"/>
      </w:divBdr>
    </w:div>
    <w:div w:id="1429815960">
      <w:bodyDiv w:val="1"/>
      <w:marLeft w:val="0"/>
      <w:marRight w:val="0"/>
      <w:marTop w:val="0"/>
      <w:marBottom w:val="0"/>
      <w:divBdr>
        <w:top w:val="none" w:sz="0" w:space="0" w:color="auto"/>
        <w:left w:val="none" w:sz="0" w:space="0" w:color="auto"/>
        <w:bottom w:val="none" w:sz="0" w:space="0" w:color="auto"/>
        <w:right w:val="none" w:sz="0" w:space="0" w:color="auto"/>
      </w:divBdr>
    </w:div>
    <w:div w:id="1453549295">
      <w:bodyDiv w:val="1"/>
      <w:marLeft w:val="0"/>
      <w:marRight w:val="0"/>
      <w:marTop w:val="0"/>
      <w:marBottom w:val="0"/>
      <w:divBdr>
        <w:top w:val="none" w:sz="0" w:space="0" w:color="auto"/>
        <w:left w:val="none" w:sz="0" w:space="0" w:color="auto"/>
        <w:bottom w:val="none" w:sz="0" w:space="0" w:color="auto"/>
        <w:right w:val="none" w:sz="0" w:space="0" w:color="auto"/>
      </w:divBdr>
    </w:div>
    <w:div w:id="1592423358">
      <w:bodyDiv w:val="1"/>
      <w:marLeft w:val="0"/>
      <w:marRight w:val="0"/>
      <w:marTop w:val="0"/>
      <w:marBottom w:val="0"/>
      <w:divBdr>
        <w:top w:val="none" w:sz="0" w:space="0" w:color="auto"/>
        <w:left w:val="none" w:sz="0" w:space="0" w:color="auto"/>
        <w:bottom w:val="none" w:sz="0" w:space="0" w:color="auto"/>
        <w:right w:val="none" w:sz="0" w:space="0" w:color="auto"/>
      </w:divBdr>
    </w:div>
    <w:div w:id="1658991842">
      <w:bodyDiv w:val="1"/>
      <w:marLeft w:val="0"/>
      <w:marRight w:val="0"/>
      <w:marTop w:val="0"/>
      <w:marBottom w:val="0"/>
      <w:divBdr>
        <w:top w:val="none" w:sz="0" w:space="0" w:color="auto"/>
        <w:left w:val="none" w:sz="0" w:space="0" w:color="auto"/>
        <w:bottom w:val="none" w:sz="0" w:space="0" w:color="auto"/>
        <w:right w:val="none" w:sz="0" w:space="0" w:color="auto"/>
      </w:divBdr>
    </w:div>
    <w:div w:id="1689133218">
      <w:bodyDiv w:val="1"/>
      <w:marLeft w:val="0"/>
      <w:marRight w:val="0"/>
      <w:marTop w:val="0"/>
      <w:marBottom w:val="0"/>
      <w:divBdr>
        <w:top w:val="none" w:sz="0" w:space="0" w:color="auto"/>
        <w:left w:val="none" w:sz="0" w:space="0" w:color="auto"/>
        <w:bottom w:val="none" w:sz="0" w:space="0" w:color="auto"/>
        <w:right w:val="none" w:sz="0" w:space="0" w:color="auto"/>
      </w:divBdr>
    </w:div>
    <w:div w:id="1751808747">
      <w:bodyDiv w:val="1"/>
      <w:marLeft w:val="0"/>
      <w:marRight w:val="0"/>
      <w:marTop w:val="0"/>
      <w:marBottom w:val="0"/>
      <w:divBdr>
        <w:top w:val="none" w:sz="0" w:space="0" w:color="auto"/>
        <w:left w:val="none" w:sz="0" w:space="0" w:color="auto"/>
        <w:bottom w:val="none" w:sz="0" w:space="0" w:color="auto"/>
        <w:right w:val="none" w:sz="0" w:space="0" w:color="auto"/>
      </w:divBdr>
    </w:div>
    <w:div w:id="1760783598">
      <w:bodyDiv w:val="1"/>
      <w:marLeft w:val="0"/>
      <w:marRight w:val="0"/>
      <w:marTop w:val="0"/>
      <w:marBottom w:val="0"/>
      <w:divBdr>
        <w:top w:val="none" w:sz="0" w:space="0" w:color="auto"/>
        <w:left w:val="none" w:sz="0" w:space="0" w:color="auto"/>
        <w:bottom w:val="none" w:sz="0" w:space="0" w:color="auto"/>
        <w:right w:val="none" w:sz="0" w:space="0" w:color="auto"/>
      </w:divBdr>
    </w:div>
    <w:div w:id="1802578626">
      <w:bodyDiv w:val="1"/>
      <w:marLeft w:val="0"/>
      <w:marRight w:val="0"/>
      <w:marTop w:val="0"/>
      <w:marBottom w:val="0"/>
      <w:divBdr>
        <w:top w:val="none" w:sz="0" w:space="0" w:color="auto"/>
        <w:left w:val="none" w:sz="0" w:space="0" w:color="auto"/>
        <w:bottom w:val="none" w:sz="0" w:space="0" w:color="auto"/>
        <w:right w:val="none" w:sz="0" w:space="0" w:color="auto"/>
      </w:divBdr>
    </w:div>
    <w:div w:id="18620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moneycontrol.com/"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premium.capitalmind.in/2017/05/yes-bank-stoops-to-a-new-low-hides-its-np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www.crisilratings.com/en/home/our-business/rating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IPE\Financial%20Markets\Assignment\np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PE\Financial%20Markets\Assignment\np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PE\Financial%20Markets\Assignment\np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PE\Financial%20Markets\Assignment\np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PE\Financial%20Markets\Assignment\np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a:t>
            </a:r>
            <a:r>
              <a:rPr lang="en-IN" baseline="0"/>
              <a:t> NPAs and Net NPAs YES BANK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i) Gross NPA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Sheet1!$B$1:$K$1</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Sheet1!$B$2:$K$2</c:f>
              <c:numCache>
                <c:formatCode>#,##0.00</c:formatCode>
                <c:ptCount val="10"/>
                <c:pt idx="0">
                  <c:v>3982.56</c:v>
                </c:pt>
                <c:pt idx="1">
                  <c:v>4394.57</c:v>
                </c:pt>
                <c:pt idx="2">
                  <c:v>27975.98</c:v>
                </c:pt>
                <c:pt idx="3">
                  <c:v>28609.53</c:v>
                </c:pt>
                <c:pt idx="4">
                  <c:v>32877.589999999997</c:v>
                </c:pt>
                <c:pt idx="5">
                  <c:v>7882.56</c:v>
                </c:pt>
                <c:pt idx="6">
                  <c:v>2626.8</c:v>
                </c:pt>
                <c:pt idx="7">
                  <c:v>2018.56</c:v>
                </c:pt>
                <c:pt idx="8" formatCode="General">
                  <c:v>748.98</c:v>
                </c:pt>
                <c:pt idx="9" formatCode="General">
                  <c:v>313.39999999999998</c:v>
                </c:pt>
              </c:numCache>
            </c:numRef>
          </c:val>
          <c:smooth val="0"/>
          <c:extLst>
            <c:ext xmlns:c16="http://schemas.microsoft.com/office/drawing/2014/chart" uri="{C3380CC4-5D6E-409C-BE32-E72D297353CC}">
              <c16:uniqueId val="{00000000-382E-468A-8D4F-22F73B4CE95F}"/>
            </c:ext>
          </c:extLst>
        </c:ser>
        <c:ser>
          <c:idx val="1"/>
          <c:order val="1"/>
          <c:tx>
            <c:strRef>
              <c:f>Sheet1!$A$3</c:f>
              <c:strCache>
                <c:ptCount val="1"/>
                <c:pt idx="0">
                  <c:v>ii) Net NPA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Sheet1!$B$1:$K$1</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Sheet1!$B$3:$K$3</c:f>
              <c:numCache>
                <c:formatCode>#,##0.00</c:formatCode>
                <c:ptCount val="10"/>
                <c:pt idx="0">
                  <c:v>1329.73</c:v>
                </c:pt>
                <c:pt idx="1">
                  <c:v>1658.09</c:v>
                </c:pt>
                <c:pt idx="2">
                  <c:v>8204.5300000000007</c:v>
                </c:pt>
                <c:pt idx="3">
                  <c:v>9813.36</c:v>
                </c:pt>
                <c:pt idx="4">
                  <c:v>8623.7800000000007</c:v>
                </c:pt>
                <c:pt idx="5">
                  <c:v>4484.8500000000004</c:v>
                </c:pt>
                <c:pt idx="6">
                  <c:v>1312.75</c:v>
                </c:pt>
                <c:pt idx="7">
                  <c:v>1072.27</c:v>
                </c:pt>
                <c:pt idx="8" formatCode="General">
                  <c:v>284.47000000000003</c:v>
                </c:pt>
                <c:pt idx="9" formatCode="General">
                  <c:v>87.72</c:v>
                </c:pt>
              </c:numCache>
            </c:numRef>
          </c:val>
          <c:smooth val="0"/>
          <c:extLst>
            <c:ext xmlns:c16="http://schemas.microsoft.com/office/drawing/2014/chart" uri="{C3380CC4-5D6E-409C-BE32-E72D297353CC}">
              <c16:uniqueId val="{00000001-382E-468A-8D4F-22F73B4CE95F}"/>
            </c:ext>
          </c:extLst>
        </c:ser>
        <c:dLbls>
          <c:showLegendKey val="0"/>
          <c:showVal val="0"/>
          <c:showCatName val="0"/>
          <c:showSerName val="0"/>
          <c:showPercent val="0"/>
          <c:showBubbleSize val="0"/>
        </c:dLbls>
        <c:marker val="1"/>
        <c:smooth val="0"/>
        <c:axId val="2094088815"/>
        <c:axId val="2094093615"/>
      </c:lineChart>
      <c:catAx>
        <c:axId val="2094088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093615"/>
        <c:crosses val="autoZero"/>
        <c:auto val="1"/>
        <c:lblAlgn val="ctr"/>
        <c:lblOffset val="100"/>
        <c:noMultiLvlLbl val="0"/>
      </c:catAx>
      <c:valAx>
        <c:axId val="20940936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088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of Gross NPAs and Net</a:t>
            </a:r>
            <a:r>
              <a:rPr lang="en-IN" baseline="0"/>
              <a:t> NPAs YES BANK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i) % of Gross NPA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Sheet1!$B$1:$K$1</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Sheet1!$B$4:$K$4</c:f>
              <c:numCache>
                <c:formatCode>General</c:formatCode>
                <c:ptCount val="10"/>
                <c:pt idx="0">
                  <c:v>1.7</c:v>
                </c:pt>
                <c:pt idx="1">
                  <c:v>2.17</c:v>
                </c:pt>
                <c:pt idx="2">
                  <c:v>13.93</c:v>
                </c:pt>
                <c:pt idx="3">
                  <c:v>15.41</c:v>
                </c:pt>
                <c:pt idx="4">
                  <c:v>16.8</c:v>
                </c:pt>
                <c:pt idx="5">
                  <c:v>3.22</c:v>
                </c:pt>
                <c:pt idx="6">
                  <c:v>1.28</c:v>
                </c:pt>
                <c:pt idx="7">
                  <c:v>1.52</c:v>
                </c:pt>
                <c:pt idx="8">
                  <c:v>0.76</c:v>
                </c:pt>
                <c:pt idx="9">
                  <c:v>0.41</c:v>
                </c:pt>
              </c:numCache>
            </c:numRef>
          </c:val>
          <c:smooth val="0"/>
          <c:extLst>
            <c:ext xmlns:c16="http://schemas.microsoft.com/office/drawing/2014/chart" uri="{C3380CC4-5D6E-409C-BE32-E72D297353CC}">
              <c16:uniqueId val="{00000000-AEE9-4680-BC90-FE20F63C4CF8}"/>
            </c:ext>
          </c:extLst>
        </c:ser>
        <c:ser>
          <c:idx val="1"/>
          <c:order val="1"/>
          <c:tx>
            <c:strRef>
              <c:f>Sheet1!$A$5</c:f>
              <c:strCache>
                <c:ptCount val="1"/>
                <c:pt idx="0">
                  <c:v>ii) % of Net NPA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Sheet1!$B$1:$K$1</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Sheet1!$B$5:$K$5</c:f>
              <c:numCache>
                <c:formatCode>General</c:formatCode>
                <c:ptCount val="10"/>
                <c:pt idx="0">
                  <c:v>0.6</c:v>
                </c:pt>
                <c:pt idx="1">
                  <c:v>0.83</c:v>
                </c:pt>
                <c:pt idx="2">
                  <c:v>4.53</c:v>
                </c:pt>
                <c:pt idx="3">
                  <c:v>5.88</c:v>
                </c:pt>
                <c:pt idx="4">
                  <c:v>5.03</c:v>
                </c:pt>
                <c:pt idx="5">
                  <c:v>1.86</c:v>
                </c:pt>
                <c:pt idx="6">
                  <c:v>0.64</c:v>
                </c:pt>
                <c:pt idx="7">
                  <c:v>0.81</c:v>
                </c:pt>
                <c:pt idx="8">
                  <c:v>0.28999999999999998</c:v>
                </c:pt>
                <c:pt idx="9">
                  <c:v>0.12</c:v>
                </c:pt>
              </c:numCache>
            </c:numRef>
          </c:val>
          <c:smooth val="0"/>
          <c:extLst>
            <c:ext xmlns:c16="http://schemas.microsoft.com/office/drawing/2014/chart" uri="{C3380CC4-5D6E-409C-BE32-E72D297353CC}">
              <c16:uniqueId val="{00000001-AEE9-4680-BC90-FE20F63C4CF8}"/>
            </c:ext>
          </c:extLst>
        </c:ser>
        <c:dLbls>
          <c:showLegendKey val="0"/>
          <c:showVal val="0"/>
          <c:showCatName val="0"/>
          <c:showSerName val="0"/>
          <c:showPercent val="0"/>
          <c:showBubbleSize val="0"/>
        </c:dLbls>
        <c:marker val="1"/>
        <c:smooth val="0"/>
        <c:axId val="2094095055"/>
        <c:axId val="2094085935"/>
      </c:lineChart>
      <c:catAx>
        <c:axId val="209409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085935"/>
        <c:crosses val="autoZero"/>
        <c:auto val="1"/>
        <c:lblAlgn val="ctr"/>
        <c:lblOffset val="100"/>
        <c:noMultiLvlLbl val="0"/>
      </c:catAx>
      <c:valAx>
        <c:axId val="209408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09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 of Gross NPAs and Net NPAs HDFC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Sheet1!$A$20</c:f>
              <c:strCache>
                <c:ptCount val="1"/>
                <c:pt idx="0">
                  <c:v>i) % of Gross NPA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Sheet1!$B$17:$K$17</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Sheet1!$B$20:$K$20</c:f>
              <c:numCache>
                <c:formatCode>General</c:formatCode>
                <c:ptCount val="10"/>
                <c:pt idx="0">
                  <c:v>1.24</c:v>
                </c:pt>
                <c:pt idx="1">
                  <c:v>1.1200000000000001</c:v>
                </c:pt>
                <c:pt idx="2">
                  <c:v>1.17</c:v>
                </c:pt>
                <c:pt idx="3">
                  <c:v>1.32</c:v>
                </c:pt>
                <c:pt idx="4">
                  <c:v>1.26</c:v>
                </c:pt>
                <c:pt idx="5">
                  <c:v>1.36</c:v>
                </c:pt>
                <c:pt idx="6">
                  <c:v>1.3</c:v>
                </c:pt>
                <c:pt idx="7">
                  <c:v>1.05</c:v>
                </c:pt>
                <c:pt idx="8">
                  <c:v>0.94</c:v>
                </c:pt>
                <c:pt idx="9">
                  <c:v>0.9</c:v>
                </c:pt>
              </c:numCache>
            </c:numRef>
          </c:val>
          <c:smooth val="0"/>
          <c:extLst>
            <c:ext xmlns:c16="http://schemas.microsoft.com/office/drawing/2014/chart" uri="{C3380CC4-5D6E-409C-BE32-E72D297353CC}">
              <c16:uniqueId val="{00000000-9F22-4F17-813F-A9A708C6798B}"/>
            </c:ext>
          </c:extLst>
        </c:ser>
        <c:ser>
          <c:idx val="1"/>
          <c:order val="1"/>
          <c:tx>
            <c:strRef>
              <c:f>Sheet1!$A$21</c:f>
              <c:strCache>
                <c:ptCount val="1"/>
                <c:pt idx="0">
                  <c:v>ii) % of Net NPA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Sheet1!$B$17:$K$17</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Sheet1!$B$21:$K$21</c:f>
              <c:numCache>
                <c:formatCode>General</c:formatCode>
                <c:ptCount val="10"/>
                <c:pt idx="0">
                  <c:v>0.33</c:v>
                </c:pt>
                <c:pt idx="1">
                  <c:v>0.27</c:v>
                </c:pt>
                <c:pt idx="2">
                  <c:v>0.32</c:v>
                </c:pt>
                <c:pt idx="3">
                  <c:v>0.4</c:v>
                </c:pt>
                <c:pt idx="4">
                  <c:v>0.36</c:v>
                </c:pt>
                <c:pt idx="5">
                  <c:v>0.39</c:v>
                </c:pt>
                <c:pt idx="6">
                  <c:v>0.4</c:v>
                </c:pt>
                <c:pt idx="7">
                  <c:v>0.33</c:v>
                </c:pt>
                <c:pt idx="8">
                  <c:v>0.28000000000000003</c:v>
                </c:pt>
                <c:pt idx="9">
                  <c:v>0.2</c:v>
                </c:pt>
              </c:numCache>
            </c:numRef>
          </c:val>
          <c:smooth val="0"/>
          <c:extLst>
            <c:ext xmlns:c16="http://schemas.microsoft.com/office/drawing/2014/chart" uri="{C3380CC4-5D6E-409C-BE32-E72D297353CC}">
              <c16:uniqueId val="{00000001-9F22-4F17-813F-A9A708C6798B}"/>
            </c:ext>
          </c:extLst>
        </c:ser>
        <c:dLbls>
          <c:showLegendKey val="0"/>
          <c:showVal val="0"/>
          <c:showCatName val="0"/>
          <c:showSerName val="0"/>
          <c:showPercent val="0"/>
          <c:showBubbleSize val="0"/>
        </c:dLbls>
        <c:marker val="1"/>
        <c:smooth val="0"/>
        <c:axId val="2127114703"/>
        <c:axId val="2127115183"/>
      </c:lineChart>
      <c:catAx>
        <c:axId val="2127114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15183"/>
        <c:crosses val="autoZero"/>
        <c:auto val="1"/>
        <c:lblAlgn val="ctr"/>
        <c:lblOffset val="100"/>
        <c:noMultiLvlLbl val="0"/>
      </c:catAx>
      <c:valAx>
        <c:axId val="212711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14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 of Gross NPAs and Net NPAs SBI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Sheet1!$A$12</c:f>
              <c:strCache>
                <c:ptCount val="1"/>
                <c:pt idx="0">
                  <c:v>i) % of Gross NPA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Sheet1!$B$9:$K$9</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Sheet1!$B$12:$K$12</c:f>
              <c:numCache>
                <c:formatCode>General</c:formatCode>
                <c:ptCount val="10"/>
                <c:pt idx="0">
                  <c:v>2.2400000000000002</c:v>
                </c:pt>
                <c:pt idx="1">
                  <c:v>2.78</c:v>
                </c:pt>
                <c:pt idx="2">
                  <c:v>3.97</c:v>
                </c:pt>
                <c:pt idx="3">
                  <c:v>4.9800000000000004</c:v>
                </c:pt>
                <c:pt idx="4">
                  <c:v>6.15</c:v>
                </c:pt>
                <c:pt idx="5">
                  <c:v>7.53</c:v>
                </c:pt>
                <c:pt idx="6">
                  <c:v>10.91</c:v>
                </c:pt>
                <c:pt idx="7">
                  <c:v>6.9</c:v>
                </c:pt>
                <c:pt idx="8">
                  <c:v>6.5</c:v>
                </c:pt>
                <c:pt idx="9">
                  <c:v>4.25</c:v>
                </c:pt>
              </c:numCache>
            </c:numRef>
          </c:val>
          <c:smooth val="0"/>
          <c:extLst>
            <c:ext xmlns:c16="http://schemas.microsoft.com/office/drawing/2014/chart" uri="{C3380CC4-5D6E-409C-BE32-E72D297353CC}">
              <c16:uniqueId val="{00000000-393C-4578-AFEC-5FACB6134D69}"/>
            </c:ext>
          </c:extLst>
        </c:ser>
        <c:ser>
          <c:idx val="1"/>
          <c:order val="1"/>
          <c:tx>
            <c:strRef>
              <c:f>Sheet1!$A$13</c:f>
              <c:strCache>
                <c:ptCount val="1"/>
                <c:pt idx="0">
                  <c:v>ii) % of Net NPA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Sheet1!$B$9:$K$9</c:f>
              <c:strCache>
                <c:ptCount val="10"/>
                <c:pt idx="0">
                  <c:v>Mar '24</c:v>
                </c:pt>
                <c:pt idx="1">
                  <c:v>Mar '23</c:v>
                </c:pt>
                <c:pt idx="2">
                  <c:v>Mar '22</c:v>
                </c:pt>
                <c:pt idx="3">
                  <c:v>Mar '21</c:v>
                </c:pt>
                <c:pt idx="4">
                  <c:v>Mar '20</c:v>
                </c:pt>
                <c:pt idx="5">
                  <c:v>Mar '19</c:v>
                </c:pt>
                <c:pt idx="6">
                  <c:v>Mar '18</c:v>
                </c:pt>
                <c:pt idx="7">
                  <c:v>Mar '17</c:v>
                </c:pt>
                <c:pt idx="8">
                  <c:v>Mar '16</c:v>
                </c:pt>
                <c:pt idx="9">
                  <c:v>Mar '15</c:v>
                </c:pt>
              </c:strCache>
            </c:strRef>
          </c:cat>
          <c:val>
            <c:numRef>
              <c:f>Sheet1!$B$13:$K$13</c:f>
              <c:numCache>
                <c:formatCode>General</c:formatCode>
                <c:ptCount val="10"/>
                <c:pt idx="0">
                  <c:v>0.56999999999999995</c:v>
                </c:pt>
                <c:pt idx="1">
                  <c:v>0.67</c:v>
                </c:pt>
                <c:pt idx="2">
                  <c:v>1.02</c:v>
                </c:pt>
                <c:pt idx="3">
                  <c:v>1.5</c:v>
                </c:pt>
                <c:pt idx="4">
                  <c:v>2.23</c:v>
                </c:pt>
                <c:pt idx="5">
                  <c:v>3.01</c:v>
                </c:pt>
                <c:pt idx="6">
                  <c:v>5.73</c:v>
                </c:pt>
                <c:pt idx="7">
                  <c:v>3.71</c:v>
                </c:pt>
                <c:pt idx="8">
                  <c:v>3.81</c:v>
                </c:pt>
                <c:pt idx="9">
                  <c:v>2.12</c:v>
                </c:pt>
              </c:numCache>
            </c:numRef>
          </c:val>
          <c:smooth val="0"/>
          <c:extLst>
            <c:ext xmlns:c16="http://schemas.microsoft.com/office/drawing/2014/chart" uri="{C3380CC4-5D6E-409C-BE32-E72D297353CC}">
              <c16:uniqueId val="{00000001-393C-4578-AFEC-5FACB6134D69}"/>
            </c:ext>
          </c:extLst>
        </c:ser>
        <c:dLbls>
          <c:showLegendKey val="0"/>
          <c:showVal val="0"/>
          <c:showCatName val="0"/>
          <c:showSerName val="0"/>
          <c:showPercent val="0"/>
          <c:showBubbleSize val="0"/>
        </c:dLbls>
        <c:marker val="1"/>
        <c:smooth val="0"/>
        <c:axId val="2052697327"/>
        <c:axId val="2052695887"/>
      </c:lineChart>
      <c:catAx>
        <c:axId val="2052697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695887"/>
        <c:crosses val="autoZero"/>
        <c:auto val="1"/>
        <c:lblAlgn val="ctr"/>
        <c:lblOffset val="100"/>
        <c:noMultiLvlLbl val="0"/>
      </c:catAx>
      <c:valAx>
        <c:axId val="205269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69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Capital Adequacy Ratio of Indian Banking Sector (Per 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Sheet1!$L$50</c:f>
              <c:strCache>
                <c:ptCount val="1"/>
                <c:pt idx="0">
                  <c:v>Capital Adequacy Ratio (Per cent)</c:v>
                </c:pt>
              </c:strCache>
            </c:strRef>
          </c:tx>
          <c:spPr>
            <a:solidFill>
              <a:schemeClr val="accent1"/>
            </a:solidFill>
            <a:ln>
              <a:noFill/>
            </a:ln>
            <a:effectLst/>
          </c:spPr>
          <c:invertIfNegative val="0"/>
          <c:cat>
            <c:strRef>
              <c:f>Sheet1!$K$51:$K$65</c:f>
              <c:strCache>
                <c:ptCount val="15"/>
                <c:pt idx="0">
                  <c:v>2021-22   </c:v>
                </c:pt>
                <c:pt idx="1">
                  <c:v>2020-21   </c:v>
                </c:pt>
                <c:pt idx="2">
                  <c:v>2019-20   </c:v>
                </c:pt>
                <c:pt idx="3">
                  <c:v>2018-19   </c:v>
                </c:pt>
                <c:pt idx="4">
                  <c:v>2017-18   </c:v>
                </c:pt>
                <c:pt idx="5">
                  <c:v>2016-17   </c:v>
                </c:pt>
                <c:pt idx="6">
                  <c:v>2015-16   </c:v>
                </c:pt>
                <c:pt idx="7">
                  <c:v>2014-15   </c:v>
                </c:pt>
                <c:pt idx="8">
                  <c:v>2013-14   </c:v>
                </c:pt>
                <c:pt idx="9">
                  <c:v>2012-13   </c:v>
                </c:pt>
                <c:pt idx="10">
                  <c:v>2011-12   </c:v>
                </c:pt>
                <c:pt idx="11">
                  <c:v>2010-11   </c:v>
                </c:pt>
                <c:pt idx="12">
                  <c:v>2009-10   </c:v>
                </c:pt>
                <c:pt idx="13">
                  <c:v>2008-09   </c:v>
                </c:pt>
                <c:pt idx="14">
                  <c:v>2007-08   </c:v>
                </c:pt>
              </c:strCache>
            </c:strRef>
          </c:cat>
          <c:val>
            <c:numRef>
              <c:f>Sheet1!$L$51:$L$65</c:f>
              <c:numCache>
                <c:formatCode>General</c:formatCode>
                <c:ptCount val="15"/>
                <c:pt idx="0">
                  <c:v>16.8</c:v>
                </c:pt>
                <c:pt idx="1">
                  <c:v>16.3</c:v>
                </c:pt>
                <c:pt idx="2">
                  <c:v>14.8</c:v>
                </c:pt>
                <c:pt idx="3">
                  <c:v>14.3</c:v>
                </c:pt>
                <c:pt idx="4">
                  <c:v>13.8</c:v>
                </c:pt>
                <c:pt idx="5">
                  <c:v>13.7</c:v>
                </c:pt>
                <c:pt idx="6">
                  <c:v>13.3</c:v>
                </c:pt>
                <c:pt idx="7">
                  <c:v>13</c:v>
                </c:pt>
                <c:pt idx="8">
                  <c:v>13</c:v>
                </c:pt>
                <c:pt idx="9">
                  <c:v>13.9</c:v>
                </c:pt>
                <c:pt idx="10">
                  <c:v>14.2</c:v>
                </c:pt>
                <c:pt idx="11">
                  <c:v>14.2</c:v>
                </c:pt>
                <c:pt idx="12">
                  <c:v>13.6</c:v>
                </c:pt>
                <c:pt idx="13">
                  <c:v>13.2</c:v>
                </c:pt>
                <c:pt idx="14">
                  <c:v>13</c:v>
                </c:pt>
              </c:numCache>
            </c:numRef>
          </c:val>
          <c:extLst>
            <c:ext xmlns:c16="http://schemas.microsoft.com/office/drawing/2014/chart" uri="{C3380CC4-5D6E-409C-BE32-E72D297353CC}">
              <c16:uniqueId val="{00000000-C9B3-4087-A765-263A39C62DF8}"/>
            </c:ext>
          </c:extLst>
        </c:ser>
        <c:dLbls>
          <c:showLegendKey val="0"/>
          <c:showVal val="0"/>
          <c:showCatName val="0"/>
          <c:showSerName val="0"/>
          <c:showPercent val="0"/>
          <c:showBubbleSize val="0"/>
        </c:dLbls>
        <c:gapWidth val="219"/>
        <c:overlap val="-27"/>
        <c:axId val="1230039024"/>
        <c:axId val="1230040464"/>
      </c:barChart>
      <c:catAx>
        <c:axId val="123003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040464"/>
        <c:crosses val="autoZero"/>
        <c:auto val="1"/>
        <c:lblAlgn val="ctr"/>
        <c:lblOffset val="100"/>
        <c:noMultiLvlLbl val="0"/>
      </c:catAx>
      <c:valAx>
        <c:axId val="123004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03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Mukunda</dc:creator>
  <cp:keywords/>
  <dc:description/>
  <cp:lastModifiedBy>Brijesh Mukunda</cp:lastModifiedBy>
  <cp:revision>2</cp:revision>
  <dcterms:created xsi:type="dcterms:W3CDTF">2024-09-12T18:34:00Z</dcterms:created>
  <dcterms:modified xsi:type="dcterms:W3CDTF">2024-09-12T21:55:00Z</dcterms:modified>
</cp:coreProperties>
</file>