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C3D2E"/>
          <w:sz w:val="32"/>
        </w:rPr>
        <w:t>WELL KEPT</w:t>
      </w:r>
    </w:p>
    <w:p>
      <w:pPr>
        <w:spacing w:before="440"/>
        <w:jc w:val="center"/>
      </w:pPr>
      <w:r>
        <w:rPr>
          <w:rFonts w:ascii="Aptos Display" w:hAnsi="Aptos Display"/>
          <w:b/>
          <w:color w:val="17324D"/>
          <w:sz w:val="50"/>
        </w:rPr>
        <w:t>Task Evidence, Household Workload,</w:t>
        <w:br/>
        <w:t>Capacity Forecasting &amp; Scheduling</w:t>
      </w:r>
    </w:p>
    <w:p>
      <w:pPr>
        <w:jc w:val="center"/>
      </w:pPr>
      <w:r>
        <w:rPr>
          <w:rFonts w:ascii="Aptos Display" w:hAnsi="Aptos Display"/>
          <w:color w:val="B08D2A"/>
          <w:sz w:val="30"/>
        </w:rPr>
        <w:t>Developer Implementation Brief</w:t>
      </w:r>
    </w:p>
    <w:p>
      <w:pPr>
        <w:spacing w:before="480"/>
        <w:jc w:val="center"/>
      </w:pPr>
      <w:r>
        <w:rPr>
          <w:rFonts w:ascii="Aptos" w:hAnsi="Aptos"/>
          <w:color w:val="606B75"/>
          <w:sz w:val="20"/>
        </w:rPr>
        <w:t>Prepared from the reconciled confidential library, the full research thread, and the external sources cited or referenced in that thread.</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7F3EA"/>
            <w:tcMar>
              <w:top w:w="100" w:type="dxa"/>
              <w:start w:w="140" w:type="dxa"/>
              <w:bottom w:w="100" w:type="dxa"/>
              <w:end w:w="140" w:type="dxa"/>
            </w:tcMar>
          </w:tcPr>
          <w:p>
            <w:pPr>
              <w:spacing w:after="40"/>
            </w:pPr>
            <w:r>
              <w:rPr>
                <w:rFonts w:ascii="Aptos Display" w:hAnsi="Aptos Display"/>
                <w:b/>
                <w:color w:val="B08D2A"/>
                <w:sz w:val="20"/>
              </w:rPr>
              <w:t>Implementation posture</w:t>
            </w:r>
          </w:p>
          <w:p>
            <w:pPr>
              <w:spacing w:after="0" w:line="247" w:lineRule="auto"/>
            </w:pPr>
            <w:r>
              <w:rPr>
                <w:rFonts w:ascii="Aptos" w:hAnsi="Aptos"/>
                <w:color w:val="1D252C"/>
                <w:sz w:val="18"/>
              </w:rPr>
              <w:t>Do not build an autonomous scheduling optimizer in v1. The current Developer Handbook explicitly keeps scheduling optimization algorithms out of v1. Build the data model, evidence store, actuals capture, workload estimator, capacity forecast, explainable recommendations, and simulation foundation first. Optimization becomes a later governed capability only after the inputs are reliable.</w:t>
            </w:r>
          </w:p>
        </w:tc>
      </w:tr>
    </w:tbl>
    <w:p>
      <w:pPr>
        <w:spacing w:after="20"/>
      </w:pPr>
    </w:p>
    <w:p>
      <w:pPr>
        <w:spacing w:before="800"/>
        <w:jc w:val="center"/>
      </w:pPr>
      <w:r>
        <w:rPr>
          <w:rFonts w:ascii="Aptos" w:hAnsi="Aptos"/>
          <w:b/>
          <w:color w:val="A33A3A"/>
          <w:sz w:val="18"/>
        </w:rPr>
        <w:t>Status: Proposed implementation brief, not a silent change to controlled requirements</w:t>
      </w:r>
    </w:p>
    <w:p>
      <w:r>
        <w:br w:type="page"/>
      </w:r>
    </w:p>
    <w:p>
      <w:pPr>
        <w:pStyle w:val="Heading1"/>
        <w:spacing w:before="200" w:after="80"/>
        <w:keepNext w:val="1"/>
      </w:pPr>
      <w:r>
        <w:t>Executive summary</w:t>
      </w:r>
    </w:p>
    <w:p>
      <w:pPr>
        <w:spacing w:after="100" w:line="250" w:lineRule="auto"/>
      </w:pPr>
      <w:r>
        <w:rPr>
          <w:rFonts w:ascii="Aptos" w:hAnsi="Aptos"/>
          <w:i w:val="0"/>
        </w:rPr>
        <w:t>The current Well Kept application architecture already contains the correct operating philosophy: one household record, structured provenance, a global Standards Store, a trigger and cascade layer, decision rights, temporal forecasting, collision detection, task stacking, close-flow actuals, and eight-to-twelve-week capacity governance. The missing piece is a quantitative workload layer that connects those components.</w:t>
      </w:r>
    </w:p>
    <w:p>
      <w:pPr>
        <w:spacing w:after="100" w:line="250" w:lineRule="auto"/>
      </w:pPr>
      <w:r>
        <w:rPr>
          <w:rFonts w:ascii="Aptos" w:hAnsi="Aptos"/>
          <w:i w:val="0"/>
        </w:rPr>
        <w:t>The developer should add a controlled sequence of objects and services that converts the 344-task catalog and each household Playbook into evidence-backed work requirements, estimates their labor and uncertainty, observes what actually happened, learns household-specific coefficients, and rolls that work into household and HOM capacity forecasts.</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EAF1F7"/>
            <w:tcMar>
              <w:top w:w="100" w:type="dxa"/>
              <w:start w:w="140" w:type="dxa"/>
              <w:bottom w:w="100" w:type="dxa"/>
              <w:end w:w="140" w:type="dxa"/>
            </w:tcMar>
          </w:tcPr>
          <w:p>
            <w:pPr>
              <w:spacing w:after="40"/>
            </w:pPr>
            <w:r>
              <w:rPr>
                <w:rFonts w:ascii="Aptos Display" w:hAnsi="Aptos Display"/>
                <w:b/>
                <w:color w:val="17324D"/>
                <w:sz w:val="20"/>
              </w:rPr>
              <w:t>Target chain</w:t>
            </w:r>
          </w:p>
          <w:p>
            <w:pPr>
              <w:spacing w:after="0" w:line="247" w:lineRule="auto"/>
            </w:pPr>
            <w:r>
              <w:rPr>
                <w:rFonts w:ascii="Aptos" w:hAnsi="Aptos"/>
                <w:color w:val="1D252C"/>
                <w:sz w:val="18"/>
              </w:rPr>
              <w:t>Task Definition -&gt; Task Evidence -&gt; Household Task Profile -&gt; Triggered Work Requirement -&gt; Estimate Snapshot -&gt; Booking / Plan -&gt; Execution Segments + Exceptions -&gt; Household Learning -&gt; Workload Forecast -&gt; HOM Book Forecast -&gt; Capacity Decision.</w:t>
            </w:r>
          </w:p>
        </w:tc>
      </w:tr>
    </w:tbl>
    <w:p>
      <w:pPr>
        <w:spacing w:after="20"/>
      </w:pPr>
    </w:p>
    <w:p>
      <w:pPr>
        <w:pStyle w:val="Heading2"/>
        <w:spacing w:before="140" w:after="80"/>
        <w:keepNext w:val="1"/>
      </w:pPr>
      <w:r>
        <w:t>The ten decisions to implement</w:t>
      </w:r>
    </w:p>
    <w:p>
      <w:pPr>
        <w:pStyle w:val="ListBullet"/>
        <w:spacing w:after="40" w:line="245" w:lineRule="auto"/>
        <w:ind w:left="259" w:hanging="173"/>
      </w:pPr>
      <w:r>
        <w:rPr>
          <w:rFonts w:ascii="Aptos" w:hAnsi="Aptos"/>
          <w:color w:val="1D252C"/>
          <w:sz w:val="18"/>
        </w:rPr>
        <w:t>Keep the global Task Inventory and the Standards Store separate from changing timing evidence. Create a parallel, versioned Task Evidence Store.</w:t>
      </w:r>
    </w:p>
    <w:p>
      <w:pPr>
        <w:pStyle w:val="ListBullet"/>
        <w:spacing w:after="40" w:line="245" w:lineRule="auto"/>
        <w:ind w:left="259" w:hanging="173"/>
      </w:pPr>
      <w:r>
        <w:rPr>
          <w:rFonts w:ascii="Aptos" w:hAnsi="Aptos"/>
          <w:color w:val="1D252C"/>
          <w:sz w:val="18"/>
        </w:rPr>
        <w:t>Create a Household Task Profile for each activated Task ID so the same global task can carry different quantities, environments, cadence, sequence and household-specific baselines.</w:t>
      </w:r>
    </w:p>
    <w:p>
      <w:pPr>
        <w:pStyle w:val="ListBullet"/>
        <w:spacing w:after="40" w:line="245" w:lineRule="auto"/>
        <w:ind w:left="259" w:hanging="173"/>
      </w:pPr>
      <w:r>
        <w:rPr>
          <w:rFonts w:ascii="Aptos" w:hAnsi="Aptos"/>
          <w:color w:val="1D252C"/>
          <w:sz w:val="18"/>
        </w:rPr>
        <w:t>Create a date-specific Work Requirement as the schedulable unit. Do not schedule Task IDs directly.</w:t>
      </w:r>
    </w:p>
    <w:p>
      <w:pPr>
        <w:pStyle w:val="ListBullet"/>
        <w:spacing w:after="40" w:line="245" w:lineRule="auto"/>
        <w:ind w:left="259" w:hanging="173"/>
      </w:pPr>
      <w:r>
        <w:rPr>
          <w:rFonts w:ascii="Aptos" w:hAnsi="Aptos"/>
          <w:color w:val="1D252C"/>
          <w:sz w:val="18"/>
        </w:rPr>
        <w:t>Capture work as time segments, not one visit duration. Separate access, setup, active work, movement, machine dwell, waiting, remote coordination, documentation and travel.</w:t>
      </w:r>
    </w:p>
    <w:p>
      <w:pPr>
        <w:pStyle w:val="ListBullet"/>
        <w:spacing w:after="40" w:line="245" w:lineRule="auto"/>
        <w:ind w:left="259" w:hanging="173"/>
      </w:pPr>
      <w:r>
        <w:rPr>
          <w:rFonts w:ascii="Aptos" w:hAnsi="Aptos"/>
          <w:color w:val="1D252C"/>
          <w:sz w:val="18"/>
        </w:rPr>
        <w:t>Use an explicit estimate hierarchy and confidence model. Unknown duration must never silently become zero.</w:t>
      </w:r>
    </w:p>
    <w:p>
      <w:pPr>
        <w:pStyle w:val="ListBullet"/>
        <w:spacing w:after="40" w:line="245" w:lineRule="auto"/>
        <w:ind w:left="259" w:hanging="173"/>
      </w:pPr>
      <w:r>
        <w:rPr>
          <w:rFonts w:ascii="Aptos" w:hAnsi="Aptos"/>
          <w:color w:val="1D252C"/>
          <w:sz w:val="18"/>
        </w:rPr>
        <w:t>Learn primarily from household + task + configuration history, not from individual HOM speed. The existing no-leaderboard and HOM-self-report guardrails remain binding.</w:t>
      </w:r>
    </w:p>
    <w:p>
      <w:pPr>
        <w:pStyle w:val="ListBullet"/>
        <w:spacing w:after="40" w:line="245" w:lineRule="auto"/>
        <w:ind w:left="259" w:hanging="173"/>
      </w:pPr>
      <w:r>
        <w:rPr>
          <w:rFonts w:ascii="Aptos" w:hAnsi="Aptos"/>
          <w:color w:val="1D252C"/>
          <w:sz w:val="18"/>
        </w:rPr>
        <w:t>Treat hard constraints separately from soft optimization preferences. A later optimizer must never trade through safety, access, authority, promised windows or required skills.</w:t>
      </w:r>
    </w:p>
    <w:p>
      <w:pPr>
        <w:pStyle w:val="ListBullet"/>
        <w:spacing w:after="40" w:line="245" w:lineRule="auto"/>
        <w:ind w:left="259" w:hanging="173"/>
      </w:pPr>
      <w:r>
        <w:rPr>
          <w:rFonts w:ascii="Aptos" w:hAnsi="Aptos"/>
          <w:color w:val="1D252C"/>
          <w:sz w:val="18"/>
        </w:rPr>
        <w:t>Build the eight-to-twelve-week workload and capacity forecast before autonomous scheduling. Add scenario simulation before schedule automation.</w:t>
      </w:r>
    </w:p>
    <w:p>
      <w:pPr>
        <w:pStyle w:val="ListBullet"/>
        <w:spacing w:after="40" w:line="245" w:lineRule="auto"/>
        <w:ind w:left="259" w:hanging="173"/>
      </w:pPr>
      <w:r>
        <w:rPr>
          <w:rFonts w:ascii="Aptos" w:hAnsi="Aptos"/>
          <w:color w:val="1D252C"/>
          <w:sz w:val="18"/>
        </w:rPr>
        <w:t>Use external creator, app, industry, manufacturer and government sources as priors, clocks and design patterns with source, scope and usage-rights metadata. Do not scrape or copy protected systems.</w:t>
      </w:r>
    </w:p>
    <w:p>
      <w:pPr>
        <w:pStyle w:val="ListBullet"/>
        <w:spacing w:after="40" w:line="245" w:lineRule="auto"/>
        <w:ind w:left="259" w:hanging="173"/>
      </w:pPr>
      <w:r>
        <w:rPr>
          <w:rFonts w:ascii="Aptos" w:hAnsi="Aptos"/>
          <w:color w:val="1D252C"/>
          <w:sz w:val="18"/>
        </w:rPr>
        <w:t>Preserve the current stack and security architecture: modular monolith, Next.js server actions, the in-house offline queue, server-side permissions, S1/S2/S3 sensitivity, auditability, and no third-party client analytics.</w:t>
      </w:r>
    </w:p>
    <w:p>
      <w:pPr>
        <w:pStyle w:val="Heading2"/>
        <w:spacing w:before="140" w:after="80"/>
        <w:keepNext w:val="1"/>
      </w:pPr>
      <w:r>
        <w:t>What this enables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1944"/>
            <w:shd w:fill="17324D"/>
            <w:tcMar>
              <w:top w:w="70" w:type="dxa"/>
              <w:start w:w="90" w:type="dxa"/>
              <w:bottom w:w="70" w:type="dxa"/>
              <w:end w:w="90" w:type="dxa"/>
            </w:tcMar>
            <w:vAlign w:val="center"/>
          </w:tcPr>
          <w:p>
            <w:pPr>
              <w:spacing w:after="0" w:before="0"/>
            </w:pPr>
            <w:r/>
            <w:r>
              <w:rPr>
                <w:rFonts w:ascii="Aptos" w:hAnsi="Aptos"/>
                <w:b/>
                <w:color w:val="FFFFFF"/>
                <w:sz w:val="16"/>
              </w:rPr>
              <w:t>Capability</w:t>
            </w:r>
          </w:p>
        </w:tc>
        <w:tc>
          <w:tcPr>
            <w:tcW w:type="dxa" w:w="3672"/>
            <w:shd w:fill="17324D"/>
            <w:tcMar>
              <w:top w:w="70" w:type="dxa"/>
              <w:start w:w="90" w:type="dxa"/>
              <w:bottom w:w="70" w:type="dxa"/>
              <w:end w:w="90" w:type="dxa"/>
            </w:tcMar>
            <w:vAlign w:val="center"/>
          </w:tcPr>
          <w:p>
            <w:pPr>
              <w:spacing w:after="0" w:before="0"/>
            </w:pPr>
            <w:r/>
            <w:r>
              <w:rPr>
                <w:rFonts w:ascii="Aptos" w:hAnsi="Aptos"/>
                <w:b/>
                <w:color w:val="FFFFFF"/>
                <w:sz w:val="16"/>
              </w:rPr>
              <w:t>Before this layer</w:t>
            </w:r>
          </w:p>
        </w:tc>
        <w:tc>
          <w:tcPr>
            <w:tcW w:type="dxa" w:w="5112"/>
            <w:shd w:fill="17324D"/>
            <w:tcMar>
              <w:top w:w="70" w:type="dxa"/>
              <w:start w:w="90" w:type="dxa"/>
              <w:bottom w:w="70" w:type="dxa"/>
              <w:end w:w="90" w:type="dxa"/>
            </w:tcMar>
            <w:vAlign w:val="center"/>
          </w:tcPr>
          <w:p>
            <w:pPr>
              <w:spacing w:after="0" w:before="0"/>
            </w:pPr>
            <w:r/>
            <w:r>
              <w:rPr>
                <w:rFonts w:ascii="Aptos" w:hAnsi="Aptos"/>
                <w:b/>
                <w:color w:val="FFFFFF"/>
                <w:sz w:val="16"/>
              </w:rPr>
              <w:t>After this layer</w:t>
            </w:r>
          </w:p>
        </w:tc>
      </w:tr>
      <w:tr>
        <w:trPr>
          <w:cantSplit w:val="1"/>
        </w:trPr>
        <w:tc>
          <w:tcPr>
            <w:tcW w:type="dxa" w:w="1944"/>
            <w:tcMar>
              <w:top w:w="70" w:type="dxa"/>
              <w:start w:w="90" w:type="dxa"/>
              <w:bottom w:w="70" w:type="dxa"/>
              <w:end w:w="90" w:type="dxa"/>
            </w:tcMar>
            <w:vAlign w:val="top"/>
          </w:tcPr>
          <w:p>
            <w:pPr>
              <w:spacing w:after="0" w:before="0"/>
            </w:pPr>
            <w:r/>
            <w:r>
              <w:rPr>
                <w:rFonts w:ascii="Aptos" w:hAnsi="Aptos"/>
                <w:b w:val="0"/>
                <w:color w:val="1D252C"/>
                <w:sz w:val="16"/>
              </w:rPr>
              <w:t>Visit planning</w:t>
            </w:r>
          </w:p>
        </w:tc>
        <w:tc>
          <w:tcPr>
            <w:tcW w:type="dxa" w:w="3672"/>
            <w:tcMar>
              <w:top w:w="70" w:type="dxa"/>
              <w:start w:w="90" w:type="dxa"/>
              <w:bottom w:w="70" w:type="dxa"/>
              <w:end w:w="90" w:type="dxa"/>
            </w:tcMar>
            <w:vAlign w:val="top"/>
          </w:tcPr>
          <w:p>
            <w:pPr>
              <w:spacing w:after="0" w:before="0"/>
            </w:pPr>
            <w:r/>
            <w:r>
              <w:rPr>
                <w:rFonts w:ascii="Aptos" w:hAnsi="Aptos"/>
                <w:b w:val="0"/>
                <w:color w:val="1D252C"/>
                <w:sz w:val="16"/>
              </w:rPr>
              <w:t>Anchor windows and human sequencing</w:t>
            </w:r>
          </w:p>
        </w:tc>
        <w:tc>
          <w:tcPr>
            <w:tcW w:type="dxa" w:w="5112"/>
            <w:tcMar>
              <w:top w:w="70" w:type="dxa"/>
              <w:start w:w="90" w:type="dxa"/>
              <w:bottom w:w="70" w:type="dxa"/>
              <w:end w:w="90" w:type="dxa"/>
            </w:tcMar>
            <w:vAlign w:val="top"/>
          </w:tcPr>
          <w:p>
            <w:pPr>
              <w:spacing w:after="0" w:before="0"/>
            </w:pPr>
            <w:r/>
            <w:r>
              <w:rPr>
                <w:rFonts w:ascii="Aptos" w:hAnsi="Aptos"/>
                <w:b w:val="0"/>
                <w:color w:val="1D252C"/>
                <w:sz w:val="16"/>
              </w:rPr>
              <w:t>Household-specific forecast with quantity, dwell, dependencies, confidence and reserve</w:t>
            </w:r>
          </w:p>
        </w:tc>
      </w:tr>
      <w:tr>
        <w:trPr>
          <w:cantSplit w:val="1"/>
        </w:trPr>
        <w:tc>
          <w:tcPr>
            <w:tcW w:type="dxa" w:w="1944"/>
            <w:shd w:fill="FAFBFC"/>
            <w:tcMar>
              <w:top w:w="70" w:type="dxa"/>
              <w:start w:w="90" w:type="dxa"/>
              <w:bottom w:w="70" w:type="dxa"/>
              <w:end w:w="90" w:type="dxa"/>
            </w:tcMar>
            <w:vAlign w:val="top"/>
          </w:tcPr>
          <w:p>
            <w:pPr>
              <w:spacing w:after="0" w:before="0"/>
            </w:pPr>
            <w:r/>
            <w:r>
              <w:rPr>
                <w:rFonts w:ascii="Aptos" w:hAnsi="Aptos"/>
                <w:b w:val="0"/>
                <w:color w:val="1D252C"/>
                <w:sz w:val="16"/>
              </w:rPr>
              <w:t>HOM capacity</w:t>
            </w:r>
          </w:p>
        </w:tc>
        <w:tc>
          <w:tcPr>
            <w:tcW w:type="dxa" w:w="3672"/>
            <w:shd w:fill="FAFBFC"/>
            <w:tcMar>
              <w:top w:w="70" w:type="dxa"/>
              <w:start w:w="90" w:type="dxa"/>
              <w:bottom w:w="70" w:type="dxa"/>
              <w:end w:w="90" w:type="dxa"/>
            </w:tcMar>
            <w:vAlign w:val="top"/>
          </w:tcPr>
          <w:p>
            <w:pPr>
              <w:spacing w:after="0" w:before="0"/>
            </w:pPr>
            <w:r/>
            <w:r>
              <w:rPr>
                <w:rFonts w:ascii="Aptos" w:hAnsi="Aptos"/>
                <w:b w:val="0"/>
                <w:color w:val="1D252C"/>
                <w:sz w:val="16"/>
              </w:rPr>
              <w:t>Hours vs model and human judgment</w:t>
            </w:r>
          </w:p>
        </w:tc>
        <w:tc>
          <w:tcPr>
            <w:tcW w:type="dxa" w:w="5112"/>
            <w:shd w:fill="FAFBFC"/>
            <w:tcMar>
              <w:top w:w="70" w:type="dxa"/>
              <w:start w:w="90" w:type="dxa"/>
              <w:bottom w:w="70" w:type="dxa"/>
              <w:end w:w="90" w:type="dxa"/>
            </w:tcMar>
            <w:vAlign w:val="top"/>
          </w:tcPr>
          <w:p>
            <w:pPr>
              <w:spacing w:after="0" w:before="0"/>
            </w:pPr>
            <w:r/>
            <w:r>
              <w:rPr>
                <w:rFonts w:ascii="Aptos" w:hAnsi="Aptos"/>
                <w:b w:val="0"/>
                <w:color w:val="1D252C"/>
                <w:sz w:val="16"/>
              </w:rPr>
              <w:t>P50/P80 workload, travel/access, remote work, uncertainty and structural reserve</w:t>
            </w:r>
          </w:p>
        </w:tc>
      </w:tr>
      <w:tr>
        <w:trPr>
          <w:cantSplit w:val="1"/>
        </w:trPr>
        <w:tc>
          <w:tcPr>
            <w:tcW w:type="dxa" w:w="1944"/>
            <w:tcMar>
              <w:top w:w="70" w:type="dxa"/>
              <w:start w:w="90" w:type="dxa"/>
              <w:bottom w:w="70" w:type="dxa"/>
              <w:end w:w="90" w:type="dxa"/>
            </w:tcMar>
            <w:vAlign w:val="top"/>
          </w:tcPr>
          <w:p>
            <w:pPr>
              <w:spacing w:after="0" w:before="0"/>
            </w:pPr>
            <w:r/>
            <w:r>
              <w:rPr>
                <w:rFonts w:ascii="Aptos" w:hAnsi="Aptos"/>
                <w:b w:val="0"/>
                <w:color w:val="1D252C"/>
                <w:sz w:val="16"/>
              </w:rPr>
              <w:t>Scope review</w:t>
            </w:r>
          </w:p>
        </w:tc>
        <w:tc>
          <w:tcPr>
            <w:tcW w:type="dxa" w:w="3672"/>
            <w:tcMar>
              <w:top w:w="70" w:type="dxa"/>
              <w:start w:w="90" w:type="dxa"/>
              <w:bottom w:w="70" w:type="dxa"/>
              <w:end w:w="90" w:type="dxa"/>
            </w:tcMar>
            <w:vAlign w:val="top"/>
          </w:tcPr>
          <w:p>
            <w:pPr>
              <w:spacing w:after="0" w:before="0"/>
            </w:pPr>
            <w:r/>
            <w:r>
              <w:rPr>
                <w:rFonts w:ascii="Aptos" w:hAnsi="Aptos"/>
                <w:b w:val="0"/>
                <w:color w:val="1D252C"/>
                <w:sz w:val="16"/>
              </w:rPr>
              <w:t>Founder/HOM judgment</w:t>
            </w:r>
          </w:p>
        </w:tc>
        <w:tc>
          <w:tcPr>
            <w:tcW w:type="dxa" w:w="5112"/>
            <w:tcMar>
              <w:top w:w="70" w:type="dxa"/>
              <w:start w:w="90" w:type="dxa"/>
              <w:bottom w:w="70" w:type="dxa"/>
              <w:end w:w="90" w:type="dxa"/>
            </w:tcMar>
            <w:vAlign w:val="top"/>
          </w:tcPr>
          <w:p>
            <w:pPr>
              <w:spacing w:after="0" w:before="0"/>
            </w:pPr>
            <w:r/>
            <w:r>
              <w:rPr>
                <w:rFonts w:ascii="Aptos" w:hAnsi="Aptos"/>
                <w:b w:val="0"/>
                <w:color w:val="1D252C"/>
                <w:sz w:val="16"/>
              </w:rPr>
              <w:t>Evidence that a household consistently creates more or less operational load than assumed</w:t>
            </w:r>
          </w:p>
        </w:tc>
      </w:tr>
      <w:tr>
        <w:trPr>
          <w:cantSplit w:val="1"/>
        </w:trPr>
        <w:tc>
          <w:tcPr>
            <w:tcW w:type="dxa" w:w="1944"/>
            <w:shd w:fill="FAFBFC"/>
            <w:tcMar>
              <w:top w:w="70" w:type="dxa"/>
              <w:start w:w="90" w:type="dxa"/>
              <w:bottom w:w="70" w:type="dxa"/>
              <w:end w:w="90" w:type="dxa"/>
            </w:tcMar>
            <w:vAlign w:val="top"/>
          </w:tcPr>
          <w:p>
            <w:pPr>
              <w:spacing w:after="0" w:before="0"/>
            </w:pPr>
            <w:r/>
            <w:r>
              <w:rPr>
                <w:rFonts w:ascii="Aptos" w:hAnsi="Aptos"/>
                <w:b w:val="0"/>
                <w:color w:val="1D252C"/>
                <w:sz w:val="16"/>
              </w:rPr>
              <w:t>Task standards</w:t>
            </w:r>
          </w:p>
        </w:tc>
        <w:tc>
          <w:tcPr>
            <w:tcW w:type="dxa" w:w="3672"/>
            <w:shd w:fill="FAFBFC"/>
            <w:tcMar>
              <w:top w:w="70" w:type="dxa"/>
              <w:start w:w="90" w:type="dxa"/>
              <w:bottom w:w="70" w:type="dxa"/>
              <w:end w:w="90" w:type="dxa"/>
            </w:tcMar>
            <w:vAlign w:val="top"/>
          </w:tcPr>
          <w:p>
            <w:pPr>
              <w:spacing w:after="0" w:before="0"/>
            </w:pPr>
            <w:r/>
            <w:r>
              <w:rPr>
                <w:rFonts w:ascii="Aptos" w:hAnsi="Aptos"/>
                <w:b w:val="0"/>
                <w:color w:val="1D252C"/>
                <w:sz w:val="16"/>
              </w:rPr>
              <w:t>Method and completion definition</w:t>
            </w:r>
          </w:p>
        </w:tc>
        <w:tc>
          <w:tcPr>
            <w:tcW w:type="dxa" w:w="5112"/>
            <w:shd w:fill="FAFBFC"/>
            <w:tcMar>
              <w:top w:w="70" w:type="dxa"/>
              <w:start w:w="90" w:type="dxa"/>
              <w:bottom w:w="70" w:type="dxa"/>
              <w:end w:w="90" w:type="dxa"/>
            </w:tcMar>
            <w:vAlign w:val="top"/>
          </w:tcPr>
          <w:p>
            <w:pPr>
              <w:spacing w:after="0" w:before="0"/>
            </w:pPr>
            <w:r/>
            <w:r>
              <w:rPr>
                <w:rFonts w:ascii="Aptos" w:hAnsi="Aptos"/>
                <w:b w:val="0"/>
                <w:color w:val="1D252C"/>
                <w:sz w:val="16"/>
              </w:rPr>
              <w:t>Method + evidence-supported effort profile + variance drivers, without creating speed quotas</w:t>
            </w:r>
          </w:p>
        </w:tc>
      </w:tr>
      <w:tr>
        <w:trPr>
          <w:cantSplit w:val="1"/>
        </w:trPr>
        <w:tc>
          <w:tcPr>
            <w:tcW w:type="dxa" w:w="1944"/>
            <w:tcMar>
              <w:top w:w="70" w:type="dxa"/>
              <w:start w:w="90" w:type="dxa"/>
              <w:bottom w:w="70" w:type="dxa"/>
              <w:end w:w="90" w:type="dxa"/>
            </w:tcMar>
            <w:vAlign w:val="top"/>
          </w:tcPr>
          <w:p>
            <w:pPr>
              <w:spacing w:after="0" w:before="0"/>
            </w:pPr>
            <w:r/>
            <w:r>
              <w:rPr>
                <w:rFonts w:ascii="Aptos" w:hAnsi="Aptos"/>
                <w:b w:val="0"/>
                <w:color w:val="1D252C"/>
                <w:sz w:val="16"/>
              </w:rPr>
              <w:t>External intelligence</w:t>
            </w:r>
          </w:p>
        </w:tc>
        <w:tc>
          <w:tcPr>
            <w:tcW w:type="dxa" w:w="3672"/>
            <w:tcMar>
              <w:top w:w="70" w:type="dxa"/>
              <w:start w:w="90" w:type="dxa"/>
              <w:bottom w:w="70" w:type="dxa"/>
              <w:end w:w="90" w:type="dxa"/>
            </w:tcMar>
            <w:vAlign w:val="top"/>
          </w:tcPr>
          <w:p>
            <w:pPr>
              <w:spacing w:after="0" w:before="0"/>
            </w:pPr>
            <w:r/>
            <w:r>
              <w:rPr>
                <w:rFonts w:ascii="Aptos" w:hAnsi="Aptos"/>
                <w:b w:val="0"/>
                <w:color w:val="1D252C"/>
                <w:sz w:val="16"/>
              </w:rPr>
              <w:t>Triggers and manually authored defaults</w:t>
            </w:r>
          </w:p>
        </w:tc>
        <w:tc>
          <w:tcPr>
            <w:tcW w:type="dxa" w:w="5112"/>
            <w:tcMar>
              <w:top w:w="70" w:type="dxa"/>
              <w:start w:w="90" w:type="dxa"/>
              <w:bottom w:w="70" w:type="dxa"/>
              <w:end w:w="90" w:type="dxa"/>
            </w:tcMar>
            <w:vAlign w:val="top"/>
          </w:tcPr>
          <w:p>
            <w:pPr>
              <w:spacing w:after="0" w:before="0"/>
            </w:pPr>
            <w:r/>
            <w:r>
              <w:rPr>
                <w:rFonts w:ascii="Aptos" w:hAnsi="Aptos"/>
                <w:b w:val="0"/>
                <w:color w:val="1D252C"/>
                <w:sz w:val="16"/>
              </w:rPr>
              <w:t>Source-governed priors, clocks, asset rules, calendar feeds and route estimates</w:t>
            </w:r>
          </w:p>
        </w:tc>
      </w:tr>
      <w:tr>
        <w:trPr>
          <w:cantSplit w:val="1"/>
        </w:trPr>
        <w:tc>
          <w:tcPr>
            <w:tcW w:type="dxa" w:w="1944"/>
            <w:shd w:fill="FAFBFC"/>
            <w:tcMar>
              <w:top w:w="70" w:type="dxa"/>
              <w:start w:w="90" w:type="dxa"/>
              <w:bottom w:w="70" w:type="dxa"/>
              <w:end w:w="90" w:type="dxa"/>
            </w:tcMar>
            <w:vAlign w:val="top"/>
          </w:tcPr>
          <w:p>
            <w:pPr>
              <w:spacing w:after="0" w:before="0"/>
            </w:pPr>
            <w:r/>
            <w:r>
              <w:rPr>
                <w:rFonts w:ascii="Aptos" w:hAnsi="Aptos"/>
                <w:b w:val="0"/>
                <w:color w:val="1D252C"/>
                <w:sz w:val="16"/>
              </w:rPr>
              <w:t>Scale decisions</w:t>
            </w:r>
          </w:p>
        </w:tc>
        <w:tc>
          <w:tcPr>
            <w:tcW w:type="dxa" w:w="3672"/>
            <w:shd w:fill="FAFBFC"/>
            <w:tcMar>
              <w:top w:w="70" w:type="dxa"/>
              <w:start w:w="90" w:type="dxa"/>
              <w:bottom w:w="70" w:type="dxa"/>
              <w:end w:w="90" w:type="dxa"/>
            </w:tcMar>
            <w:vAlign w:val="top"/>
          </w:tcPr>
          <w:p>
            <w:pPr>
              <w:spacing w:after="0" w:before="0"/>
            </w:pPr>
            <w:r/>
            <w:r>
              <w:rPr>
                <w:rFonts w:ascii="Aptos" w:hAnsi="Aptos"/>
                <w:b w:val="0"/>
                <w:color w:val="1D252C"/>
                <w:sz w:val="16"/>
              </w:rPr>
              <w:t>Household count and broad utilization</w:t>
            </w:r>
          </w:p>
        </w:tc>
        <w:tc>
          <w:tcPr>
            <w:tcW w:type="dxa" w:w="5112"/>
            <w:shd w:fill="FAFBFC"/>
            <w:tcMar>
              <w:top w:w="70" w:type="dxa"/>
              <w:start w:w="90" w:type="dxa"/>
              <w:bottom w:w="70" w:type="dxa"/>
              <w:end w:w="90" w:type="dxa"/>
            </w:tcMar>
            <w:vAlign w:val="top"/>
          </w:tcPr>
          <w:p>
            <w:pPr>
              <w:spacing w:after="0" w:before="0"/>
            </w:pPr>
            <w:r/>
            <w:r>
              <w:rPr>
                <w:rFonts w:ascii="Aptos" w:hAnsi="Aptos"/>
                <w:b w:val="0"/>
                <w:color w:val="1D252C"/>
                <w:sz w:val="16"/>
              </w:rPr>
              <w:t>Forward book risk, cluster pressure, backup coverage and scenario-tested hiring/density decisions</w:t>
            </w:r>
          </w:p>
        </w:tc>
      </w:tr>
    </w:tbl>
    <w:p>
      <w:pPr>
        <w:spacing w:after="20"/>
      </w:pPr>
    </w:p>
    <w:p>
      <w:pPr>
        <w:pStyle w:val="Heading1"/>
        <w:spacing w:before="200" w:after="80"/>
        <w:keepNext w:val="1"/>
      </w:pPr>
      <w:r>
        <w:t>1. Reconcile this work to the current Well Kept authority</w:t>
      </w:r>
    </w:p>
    <w:p>
      <w:pPr>
        <w:spacing w:after="100" w:line="250" w:lineRule="auto"/>
      </w:pPr>
      <w:r>
        <w:rPr>
          <w:rFonts w:ascii="Aptos" w:hAnsi="Aptos"/>
          <w:i w:val="0"/>
        </w:rPr>
        <w:t>This brief must be implemented as an extension of the current architecture, not as a parallel product. The source ZIP identifies a current authority dated 22 August 2026 and expressly states that conflicts must be resolved in favor of that authority. The developer should therefore treat this brief as an RFC until normal governance assigns requirement numbers and updates controlled documents.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736"/>
            <w:shd w:fill="17324D"/>
            <w:tcMar>
              <w:top w:w="70" w:type="dxa"/>
              <w:start w:w="90" w:type="dxa"/>
              <w:bottom w:w="70" w:type="dxa"/>
              <w:end w:w="90" w:type="dxa"/>
            </w:tcMar>
            <w:vAlign w:val="center"/>
          </w:tcPr>
          <w:p>
            <w:pPr>
              <w:spacing w:after="0" w:before="0"/>
            </w:pPr>
            <w:r/>
            <w:r>
              <w:rPr>
                <w:rFonts w:ascii="Aptos" w:hAnsi="Aptos"/>
                <w:b/>
                <w:color w:val="FFFFFF"/>
                <w:sz w:val="16"/>
              </w:rPr>
              <w:t>Existing controlled concept</w:t>
            </w:r>
          </w:p>
        </w:tc>
        <w:tc>
          <w:tcPr>
            <w:tcW w:type="dxa" w:w="1512"/>
            <w:shd w:fill="17324D"/>
            <w:tcMar>
              <w:top w:w="70" w:type="dxa"/>
              <w:start w:w="90" w:type="dxa"/>
              <w:bottom w:w="70" w:type="dxa"/>
              <w:end w:w="90" w:type="dxa"/>
            </w:tcMar>
            <w:vAlign w:val="center"/>
          </w:tcPr>
          <w:p>
            <w:pPr>
              <w:spacing w:after="0" w:before="0"/>
            </w:pPr>
            <w:r/>
            <w:r>
              <w:rPr>
                <w:rFonts w:ascii="Aptos" w:hAnsi="Aptos"/>
                <w:b/>
                <w:color w:val="FFFFFF"/>
                <w:sz w:val="16"/>
              </w:rPr>
              <w:t>Preserve</w:t>
            </w:r>
          </w:p>
        </w:tc>
        <w:tc>
          <w:tcPr>
            <w:tcW w:type="dxa" w:w="6624"/>
            <w:shd w:fill="17324D"/>
            <w:tcMar>
              <w:top w:w="70" w:type="dxa"/>
              <w:start w:w="90" w:type="dxa"/>
              <w:bottom w:w="70" w:type="dxa"/>
              <w:end w:w="90" w:type="dxa"/>
            </w:tcMar>
            <w:vAlign w:val="center"/>
          </w:tcPr>
          <w:p>
            <w:pPr>
              <w:spacing w:after="0" w:before="0"/>
            </w:pPr>
            <w:r/>
            <w:r>
              <w:rPr>
                <w:rFonts w:ascii="Aptos" w:hAnsi="Aptos"/>
                <w:b/>
                <w:color w:val="FFFFFF"/>
                <w:sz w:val="16"/>
              </w:rPr>
              <w:t>Implementation consequence</w:t>
            </w:r>
          </w:p>
        </w:tc>
      </w:tr>
      <w:tr>
        <w:trPr>
          <w:cantSplit w:val="1"/>
        </w:trPr>
        <w:tc>
          <w:tcPr>
            <w:tcW w:type="dxa" w:w="2736"/>
            <w:tcMar>
              <w:top w:w="70" w:type="dxa"/>
              <w:start w:w="90" w:type="dxa"/>
              <w:bottom w:w="70" w:type="dxa"/>
              <w:end w:w="90" w:type="dxa"/>
            </w:tcMar>
            <w:vAlign w:val="top"/>
          </w:tcPr>
          <w:p>
            <w:pPr>
              <w:spacing w:after="0" w:before="0"/>
            </w:pPr>
            <w:r/>
            <w:r>
              <w:rPr>
                <w:rFonts w:ascii="Aptos" w:hAnsi="Aptos"/>
                <w:b w:val="0"/>
                <w:color w:val="1D252C"/>
                <w:sz w:val="16"/>
              </w:rPr>
              <w:t>One Playbook per household, role-scoped views</w:t>
            </w:r>
          </w:p>
        </w:tc>
        <w:tc>
          <w:tcPr>
            <w:tcW w:type="dxa" w:w="1512"/>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tcMar>
              <w:top w:w="70" w:type="dxa"/>
              <w:start w:w="90" w:type="dxa"/>
              <w:bottom w:w="70" w:type="dxa"/>
              <w:end w:w="90" w:type="dxa"/>
            </w:tcMar>
            <w:vAlign w:val="top"/>
          </w:tcPr>
          <w:p>
            <w:pPr>
              <w:spacing w:after="0" w:before="0"/>
            </w:pPr>
            <w:r/>
            <w:r>
              <w:rPr>
                <w:rFonts w:ascii="Aptos" w:hAnsi="Aptos"/>
                <w:b w:val="0"/>
                <w:color w:val="1D252C"/>
                <w:sz w:val="16"/>
              </w:rPr>
              <w:t>New workload data attaches to the same household record and is filtered by role; do not create a separate scheduling household profile that can drift.</w:t>
            </w:r>
          </w:p>
        </w:tc>
      </w:tr>
      <w:tr>
        <w:trPr>
          <w:cantSplit w:val="1"/>
        </w:trPr>
        <w:tc>
          <w:tcPr>
            <w:tcW w:type="dxa" w:w="2736"/>
            <w:shd w:fill="FAFBFC"/>
            <w:tcMar>
              <w:top w:w="70" w:type="dxa"/>
              <w:start w:w="90" w:type="dxa"/>
              <w:bottom w:w="70" w:type="dxa"/>
              <w:end w:w="90" w:type="dxa"/>
            </w:tcMar>
            <w:vAlign w:val="top"/>
          </w:tcPr>
          <w:p>
            <w:pPr>
              <w:spacing w:after="0" w:before="0"/>
            </w:pPr>
            <w:r/>
            <w:r>
              <w:rPr>
                <w:rFonts w:ascii="Aptos" w:hAnsi="Aptos"/>
                <w:b w:val="0"/>
                <w:color w:val="1D252C"/>
                <w:sz w:val="16"/>
              </w:rPr>
              <w:t>Sensitivity + provenance on every field</w:t>
            </w:r>
          </w:p>
        </w:tc>
        <w:tc>
          <w:tcPr>
            <w:tcW w:type="dxa" w:w="1512"/>
            <w:shd w:fill="FAFBFC"/>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shd w:fill="FAFBFC"/>
            <w:tcMar>
              <w:top w:w="70" w:type="dxa"/>
              <w:start w:w="90" w:type="dxa"/>
              <w:bottom w:w="70" w:type="dxa"/>
              <w:end w:w="90" w:type="dxa"/>
            </w:tcMar>
            <w:vAlign w:val="top"/>
          </w:tcPr>
          <w:p>
            <w:pPr>
              <w:spacing w:after="0" w:before="0"/>
            </w:pPr>
            <w:r/>
            <w:r>
              <w:rPr>
                <w:rFonts w:ascii="Aptos" w:hAnsi="Aptos"/>
                <w:b w:val="0"/>
                <w:color w:val="1D252C"/>
                <w:sz w:val="16"/>
              </w:rPr>
              <w:t>Evidence, estimates, overrides and learned values need source/provenance and audit metadata.</w:t>
            </w:r>
          </w:p>
        </w:tc>
      </w:tr>
      <w:tr>
        <w:trPr>
          <w:cantSplit w:val="1"/>
        </w:trPr>
        <w:tc>
          <w:tcPr>
            <w:tcW w:type="dxa" w:w="2736"/>
            <w:tcMar>
              <w:top w:w="70" w:type="dxa"/>
              <w:start w:w="90" w:type="dxa"/>
              <w:bottom w:w="70" w:type="dxa"/>
              <w:end w:w="90" w:type="dxa"/>
            </w:tcMar>
            <w:vAlign w:val="top"/>
          </w:tcPr>
          <w:p>
            <w:pPr>
              <w:spacing w:after="0" w:before="0"/>
            </w:pPr>
            <w:r/>
            <w:r>
              <w:rPr>
                <w:rFonts w:ascii="Aptos" w:hAnsi="Aptos"/>
                <w:b w:val="0"/>
                <w:color w:val="1D252C"/>
                <w:sz w:val="16"/>
              </w:rPr>
              <w:t>Global Standards Store</w:t>
            </w:r>
          </w:p>
        </w:tc>
        <w:tc>
          <w:tcPr>
            <w:tcW w:type="dxa" w:w="1512"/>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tcMar>
              <w:top w:w="70" w:type="dxa"/>
              <w:start w:w="90" w:type="dxa"/>
              <w:bottom w:w="70" w:type="dxa"/>
              <w:end w:w="90" w:type="dxa"/>
            </w:tcMar>
            <w:vAlign w:val="top"/>
          </w:tcPr>
          <w:p>
            <w:pPr>
              <w:spacing w:after="0" w:before="0"/>
            </w:pPr>
            <w:r/>
            <w:r>
              <w:rPr>
                <w:rFonts w:ascii="Aptos" w:hAnsi="Aptos"/>
                <w:b w:val="0"/>
                <w:color w:val="1D252C"/>
                <w:sz w:val="16"/>
              </w:rPr>
              <w:t>Do not put changing timing observations into standard provisions. Link standards to evidence rather than mixing them.</w:t>
            </w:r>
          </w:p>
        </w:tc>
      </w:tr>
      <w:tr>
        <w:trPr>
          <w:cantSplit w:val="1"/>
        </w:trPr>
        <w:tc>
          <w:tcPr>
            <w:tcW w:type="dxa" w:w="2736"/>
            <w:shd w:fill="FAFBFC"/>
            <w:tcMar>
              <w:top w:w="70" w:type="dxa"/>
              <w:start w:w="90" w:type="dxa"/>
              <w:bottom w:w="70" w:type="dxa"/>
              <w:end w:w="90" w:type="dxa"/>
            </w:tcMar>
            <w:vAlign w:val="top"/>
          </w:tcPr>
          <w:p>
            <w:pPr>
              <w:spacing w:after="0" w:before="0"/>
            </w:pPr>
            <w:r/>
            <w:r>
              <w:rPr>
                <w:rFonts w:ascii="Aptos" w:hAnsi="Aptos"/>
                <w:b w:val="0"/>
                <w:color w:val="1D252C"/>
                <w:sz w:val="16"/>
              </w:rPr>
              <w:t>Decision Rights and Four-Stage pipeline</w:t>
            </w:r>
          </w:p>
        </w:tc>
        <w:tc>
          <w:tcPr>
            <w:tcW w:type="dxa" w:w="1512"/>
            <w:shd w:fill="FAFBFC"/>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shd w:fill="FAFBFC"/>
            <w:tcMar>
              <w:top w:w="70" w:type="dxa"/>
              <w:start w:w="90" w:type="dxa"/>
              <w:bottom w:w="70" w:type="dxa"/>
              <w:end w:w="90" w:type="dxa"/>
            </w:tcMar>
            <w:vAlign w:val="top"/>
          </w:tcPr>
          <w:p>
            <w:pPr>
              <w:spacing w:after="0" w:before="0"/>
            </w:pPr>
            <w:r/>
            <w:r>
              <w:rPr>
                <w:rFonts w:ascii="Aptos" w:hAnsi="Aptos"/>
                <w:b w:val="0"/>
                <w:color w:val="1D252C"/>
                <w:sz w:val="16"/>
              </w:rPr>
              <w:t>A Work Requirement cannot silently cross a member decision boundary. Pending decisions may create tentative holds, not autonomous execution.</w:t>
            </w:r>
          </w:p>
        </w:tc>
      </w:tr>
      <w:tr>
        <w:trPr>
          <w:cantSplit w:val="1"/>
        </w:trPr>
        <w:tc>
          <w:tcPr>
            <w:tcW w:type="dxa" w:w="2736"/>
            <w:tcMar>
              <w:top w:w="70" w:type="dxa"/>
              <w:start w:w="90" w:type="dxa"/>
              <w:bottom w:w="70" w:type="dxa"/>
              <w:end w:w="90" w:type="dxa"/>
            </w:tcMar>
            <w:vAlign w:val="top"/>
          </w:tcPr>
          <w:p>
            <w:pPr>
              <w:spacing w:after="0" w:before="0"/>
            </w:pPr>
            <w:r/>
            <w:r>
              <w:rPr>
                <w:rFonts w:ascii="Aptos" w:hAnsi="Aptos"/>
                <w:b w:val="0"/>
                <w:color w:val="1D252C"/>
                <w:sz w:val="16"/>
              </w:rPr>
              <w:t>Staff-first anticipation</w:t>
            </w:r>
          </w:p>
        </w:tc>
        <w:tc>
          <w:tcPr>
            <w:tcW w:type="dxa" w:w="1512"/>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tcMar>
              <w:top w:w="70" w:type="dxa"/>
              <w:start w:w="90" w:type="dxa"/>
              <w:bottom w:w="70" w:type="dxa"/>
              <w:end w:w="90" w:type="dxa"/>
            </w:tcMar>
            <w:vAlign w:val="top"/>
          </w:tcPr>
          <w:p>
            <w:pPr>
              <w:spacing w:after="0" w:before="0"/>
            </w:pPr>
            <w:r/>
            <w:r>
              <w:rPr>
                <w:rFonts w:ascii="Aptos" w:hAnsi="Aptos"/>
                <w:b w:val="0"/>
                <w:color w:val="1D252C"/>
                <w:sz w:val="16"/>
              </w:rPr>
              <w:t>Forecasts and warnings route internally unless a real member decision is required.</w:t>
            </w:r>
          </w:p>
        </w:tc>
      </w:tr>
      <w:tr>
        <w:trPr>
          <w:cantSplit w:val="1"/>
        </w:trPr>
        <w:tc>
          <w:tcPr>
            <w:tcW w:type="dxa" w:w="2736"/>
            <w:shd w:fill="FAFBFC"/>
            <w:tcMar>
              <w:top w:w="70" w:type="dxa"/>
              <w:start w:w="90" w:type="dxa"/>
              <w:bottom w:w="70" w:type="dxa"/>
              <w:end w:w="90" w:type="dxa"/>
            </w:tcMar>
            <w:vAlign w:val="top"/>
          </w:tcPr>
          <w:p>
            <w:pPr>
              <w:spacing w:after="0" w:before="0"/>
            </w:pPr>
            <w:r/>
            <w:r>
              <w:rPr>
                <w:rFonts w:ascii="Aptos" w:hAnsi="Aptos"/>
                <w:b w:val="0"/>
                <w:color w:val="1D252C"/>
                <w:sz w:val="16"/>
              </w:rPr>
              <w:t>Close flow is P0</w:t>
            </w:r>
          </w:p>
        </w:tc>
        <w:tc>
          <w:tcPr>
            <w:tcW w:type="dxa" w:w="1512"/>
            <w:shd w:fill="FAFBFC"/>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shd w:fill="FAFBFC"/>
            <w:tcMar>
              <w:top w:w="70" w:type="dxa"/>
              <w:start w:w="90" w:type="dxa"/>
              <w:bottom w:w="70" w:type="dxa"/>
              <w:end w:w="90" w:type="dxa"/>
            </w:tcMar>
            <w:vAlign w:val="top"/>
          </w:tcPr>
          <w:p>
            <w:pPr>
              <w:spacing w:after="0" w:before="0"/>
            </w:pPr>
            <w:r/>
            <w:r>
              <w:rPr>
                <w:rFonts w:ascii="Aptos" w:hAnsi="Aptos"/>
                <w:b w:val="0"/>
                <w:color w:val="1D252C"/>
                <w:sz w:val="16"/>
              </w:rPr>
              <w:t>Extend the existing close flow carefully so actuals collection remains low-friction and required fields do not multiply unnecessarily.</w:t>
            </w:r>
          </w:p>
        </w:tc>
      </w:tr>
      <w:tr>
        <w:trPr>
          <w:cantSplit w:val="1"/>
        </w:trPr>
        <w:tc>
          <w:tcPr>
            <w:tcW w:type="dxa" w:w="2736"/>
            <w:tcMar>
              <w:top w:w="70" w:type="dxa"/>
              <w:start w:w="90" w:type="dxa"/>
              <w:bottom w:w="70" w:type="dxa"/>
              <w:end w:w="90" w:type="dxa"/>
            </w:tcMar>
            <w:vAlign w:val="top"/>
          </w:tcPr>
          <w:p>
            <w:pPr>
              <w:spacing w:after="0" w:before="0"/>
            </w:pPr>
            <w:r/>
            <w:r>
              <w:rPr>
                <w:rFonts w:ascii="Aptos" w:hAnsi="Aptos"/>
                <w:b w:val="0"/>
                <w:color w:val="1D252C"/>
                <w:sz w:val="16"/>
              </w:rPr>
              <w:t>HOM capacity self-report is authoritative</w:t>
            </w:r>
          </w:p>
        </w:tc>
        <w:tc>
          <w:tcPr>
            <w:tcW w:type="dxa" w:w="1512"/>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tcMar>
              <w:top w:w="70" w:type="dxa"/>
              <w:start w:w="90" w:type="dxa"/>
              <w:bottom w:w="70" w:type="dxa"/>
              <w:end w:w="90" w:type="dxa"/>
            </w:tcMar>
            <w:vAlign w:val="top"/>
          </w:tcPr>
          <w:p>
            <w:pPr>
              <w:spacing w:after="0" w:before="0"/>
            </w:pPr>
            <w:r/>
            <w:r>
              <w:rPr>
                <w:rFonts w:ascii="Aptos" w:hAnsi="Aptos"/>
                <w:b w:val="0"/>
                <w:color w:val="1D252C"/>
                <w:sz w:val="16"/>
              </w:rPr>
              <w:t>Forecasts advise. A HOM can override capacity without being scored as wrong.</w:t>
            </w:r>
          </w:p>
        </w:tc>
      </w:tr>
      <w:tr>
        <w:trPr>
          <w:cantSplit w:val="1"/>
        </w:trPr>
        <w:tc>
          <w:tcPr>
            <w:tcW w:type="dxa" w:w="2736"/>
            <w:shd w:fill="FAFBFC"/>
            <w:tcMar>
              <w:top w:w="70" w:type="dxa"/>
              <w:start w:w="90" w:type="dxa"/>
              <w:bottom w:w="70" w:type="dxa"/>
              <w:end w:w="90" w:type="dxa"/>
            </w:tcMar>
            <w:vAlign w:val="top"/>
          </w:tcPr>
          <w:p>
            <w:pPr>
              <w:spacing w:after="0" w:before="0"/>
            </w:pPr>
            <w:r/>
            <w:r>
              <w:rPr>
                <w:rFonts w:ascii="Aptos" w:hAnsi="Aptos"/>
                <w:b w:val="0"/>
                <w:color w:val="1D252C"/>
                <w:sz w:val="16"/>
              </w:rPr>
              <w:t>No employee leaderboards</w:t>
            </w:r>
          </w:p>
        </w:tc>
        <w:tc>
          <w:tcPr>
            <w:tcW w:type="dxa" w:w="1512"/>
            <w:shd w:fill="FAFBFC"/>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shd w:fill="FAFBFC"/>
            <w:tcMar>
              <w:top w:w="70" w:type="dxa"/>
              <w:start w:w="90" w:type="dxa"/>
              <w:bottom w:w="70" w:type="dxa"/>
              <w:end w:w="90" w:type="dxa"/>
            </w:tcMar>
            <w:vAlign w:val="top"/>
          </w:tcPr>
          <w:p>
            <w:pPr>
              <w:spacing w:after="0" w:before="0"/>
            </w:pPr>
            <w:r/>
            <w:r>
              <w:rPr>
                <w:rFonts w:ascii="Aptos" w:hAnsi="Aptos"/>
                <w:b w:val="0"/>
                <w:color w:val="1D252C"/>
                <w:sz w:val="16"/>
              </w:rPr>
              <w:t>Do not expose speed rankings or use raw task duration as a performance metric.</w:t>
            </w:r>
          </w:p>
        </w:tc>
      </w:tr>
      <w:tr>
        <w:trPr>
          <w:cantSplit w:val="1"/>
        </w:trPr>
        <w:tc>
          <w:tcPr>
            <w:tcW w:type="dxa" w:w="2736"/>
            <w:tcMar>
              <w:top w:w="70" w:type="dxa"/>
              <w:start w:w="90" w:type="dxa"/>
              <w:bottom w:w="70" w:type="dxa"/>
              <w:end w:w="90" w:type="dxa"/>
            </w:tcMar>
            <w:vAlign w:val="top"/>
          </w:tcPr>
          <w:p>
            <w:pPr>
              <w:spacing w:after="0" w:before="0"/>
            </w:pPr>
            <w:r/>
            <w:r>
              <w:rPr>
                <w:rFonts w:ascii="Aptos" w:hAnsi="Aptos"/>
                <w:b w:val="0"/>
                <w:color w:val="1D252C"/>
                <w:sz w:val="16"/>
              </w:rPr>
              <w:t>Scheduling optimization algorithms v1</w:t>
            </w:r>
          </w:p>
        </w:tc>
        <w:tc>
          <w:tcPr>
            <w:tcW w:type="dxa" w:w="1512"/>
            <w:tcMar>
              <w:top w:w="70" w:type="dxa"/>
              <w:start w:w="90" w:type="dxa"/>
              <w:bottom w:w="70" w:type="dxa"/>
              <w:end w:w="90" w:type="dxa"/>
            </w:tcMar>
            <w:vAlign w:val="top"/>
          </w:tcPr>
          <w:p>
            <w:pPr>
              <w:spacing w:after="0" w:before="0"/>
            </w:pPr>
            <w:r/>
            <w:r>
              <w:rPr>
                <w:rFonts w:ascii="Aptos" w:hAnsi="Aptos"/>
                <w:b w:val="0"/>
                <w:color w:val="1D252C"/>
                <w:sz w:val="16"/>
              </w:rPr>
              <w:t>Out of scope</w:t>
            </w:r>
          </w:p>
        </w:tc>
        <w:tc>
          <w:tcPr>
            <w:tcW w:type="dxa" w:w="6624"/>
            <w:tcMar>
              <w:top w:w="70" w:type="dxa"/>
              <w:start w:w="90" w:type="dxa"/>
              <w:bottom w:w="70" w:type="dxa"/>
              <w:end w:w="90" w:type="dxa"/>
            </w:tcMar>
            <w:vAlign w:val="top"/>
          </w:tcPr>
          <w:p>
            <w:pPr>
              <w:spacing w:after="0" w:before="0"/>
            </w:pPr>
            <w:r/>
            <w:r>
              <w:rPr>
                <w:rFonts w:ascii="Aptos" w:hAnsi="Aptos"/>
                <w:b w:val="0"/>
                <w:color w:val="1D252C"/>
                <w:sz w:val="16"/>
              </w:rPr>
              <w:t>Build the foundation and recommendation layer first. Keep autonomous optimizer behind a later gate.</w:t>
            </w:r>
          </w:p>
        </w:tc>
      </w:tr>
      <w:tr>
        <w:trPr>
          <w:cantSplit w:val="1"/>
        </w:trPr>
        <w:tc>
          <w:tcPr>
            <w:tcW w:type="dxa" w:w="2736"/>
            <w:shd w:fill="FAFBFC"/>
            <w:tcMar>
              <w:top w:w="70" w:type="dxa"/>
              <w:start w:w="90" w:type="dxa"/>
              <w:bottom w:w="70" w:type="dxa"/>
              <w:end w:w="90" w:type="dxa"/>
            </w:tcMar>
            <w:vAlign w:val="top"/>
          </w:tcPr>
          <w:p>
            <w:pPr>
              <w:spacing w:after="0" w:before="0"/>
            </w:pPr>
            <w:r/>
            <w:r>
              <w:rPr>
                <w:rFonts w:ascii="Aptos" w:hAnsi="Aptos"/>
                <w:b w:val="0"/>
                <w:color w:val="1D252C"/>
                <w:sz w:val="16"/>
              </w:rPr>
              <w:t>Parcel/deed research prohibitions</w:t>
            </w:r>
          </w:p>
        </w:tc>
        <w:tc>
          <w:tcPr>
            <w:tcW w:type="dxa" w:w="1512"/>
            <w:shd w:fill="FAFBFC"/>
            <w:tcMar>
              <w:top w:w="70" w:type="dxa"/>
              <w:start w:w="90" w:type="dxa"/>
              <w:bottom w:w="70" w:type="dxa"/>
              <w:end w:w="90" w:type="dxa"/>
            </w:tcMar>
            <w:vAlign w:val="top"/>
          </w:tcPr>
          <w:p>
            <w:pPr>
              <w:spacing w:after="0" w:before="0"/>
            </w:pPr>
            <w:r/>
            <w:r>
              <w:rPr>
                <w:rFonts w:ascii="Aptos" w:hAnsi="Aptos"/>
                <w:b w:val="0"/>
                <w:color w:val="1D252C"/>
                <w:sz w:val="16"/>
              </w:rPr>
              <w:t>Yes</w:t>
            </w:r>
          </w:p>
        </w:tc>
        <w:tc>
          <w:tcPr>
            <w:tcW w:type="dxa" w:w="6624"/>
            <w:shd w:fill="FAFBFC"/>
            <w:tcMar>
              <w:top w:w="70" w:type="dxa"/>
              <w:start w:w="90" w:type="dxa"/>
              <w:bottom w:w="70" w:type="dxa"/>
              <w:end w:w="90" w:type="dxa"/>
            </w:tcMar>
            <w:vAlign w:val="top"/>
          </w:tcPr>
          <w:p>
            <w:pPr>
              <w:spacing w:after="0" w:before="0"/>
            </w:pPr>
            <w:r/>
            <w:r>
              <w:rPr>
                <w:rFonts w:ascii="Aptos" w:hAnsi="Aptos"/>
                <w:b w:val="0"/>
                <w:color w:val="1D252C"/>
                <w:sz w:val="16"/>
              </w:rPr>
              <w:t>Do not use external property/deed enrichment as a workload shortcut. Use declared/observed household facts and optional consented geometry.</w:t>
            </w:r>
          </w:p>
        </w:tc>
      </w:tr>
    </w:tbl>
    <w:p>
      <w:pPr>
        <w:spacing w:after="20"/>
      </w:pPr>
    </w:p>
    <w:p>
      <w:pPr>
        <w:pStyle w:val="Heading2"/>
        <w:spacing w:before="140" w:after="80"/>
        <w:keepNext w:val="1"/>
      </w:pPr>
      <w:r>
        <w:t>Stack corrections that must remain controlling</w:t>
      </w:r>
    </w:p>
    <w:p>
      <w:pPr>
        <w:spacing w:after="100" w:line="250" w:lineRule="auto"/>
      </w:pPr>
      <w:r>
        <w:rPr>
          <w:rFonts w:ascii="Aptos" w:hAnsi="Aptos"/>
          <w:i w:val="0"/>
        </w:rPr>
        <w:t>Some older documentation still contains stale implementation references. Follow the current stack document and repository verification notes, not older planning language.</w:t>
      </w:r>
    </w:p>
    <w:p>
      <w:pPr>
        <w:pStyle w:val="ListBullet"/>
        <w:spacing w:after="40" w:line="245" w:lineRule="auto"/>
        <w:ind w:left="259" w:hanging="173"/>
      </w:pPr>
      <w:r>
        <w:rPr>
          <w:rFonts w:ascii="Aptos" w:hAnsi="Aptos"/>
          <w:color w:val="1D252C"/>
          <w:sz w:val="18"/>
        </w:rPr>
        <w:t>API: Next.js server actions, not tRPC.</w:t>
      </w:r>
    </w:p>
    <w:p>
      <w:pPr>
        <w:pStyle w:val="ListBullet"/>
        <w:spacing w:after="40" w:line="245" w:lineRule="auto"/>
        <w:ind w:left="259" w:hanging="173"/>
      </w:pPr>
      <w:r>
        <w:rPr>
          <w:rFonts w:ascii="Aptos" w:hAnsi="Aptos"/>
          <w:color w:val="1D252C"/>
          <w:sz w:val="18"/>
        </w:rPr>
        <w:t>Offline store: @wellkept/offline-queue, not WatermelonDB.</w:t>
      </w:r>
    </w:p>
    <w:p>
      <w:pPr>
        <w:pStyle w:val="ListBullet"/>
        <w:spacing w:after="40" w:line="245" w:lineRule="auto"/>
        <w:ind w:left="259" w:hanging="173"/>
      </w:pPr>
      <w:r>
        <w:rPr>
          <w:rFonts w:ascii="Aptos" w:hAnsi="Aptos"/>
          <w:color w:val="1D252C"/>
          <w:sz w:val="18"/>
        </w:rPr>
        <w:t>Email: Resend, not Postmark.</w:t>
      </w:r>
    </w:p>
    <w:p>
      <w:pPr>
        <w:pStyle w:val="ListBullet"/>
        <w:spacing w:after="40" w:line="245" w:lineRule="auto"/>
        <w:ind w:left="259" w:hanging="173"/>
      </w:pPr>
      <w:r>
        <w:rPr>
          <w:rFonts w:ascii="Aptos" w:hAnsi="Aptos"/>
          <w:color w:val="1D252C"/>
          <w:sz w:val="18"/>
        </w:rPr>
        <w:t>Architecture: modular monolith plus worker, not microservices.</w:t>
      </w:r>
    </w:p>
    <w:p>
      <w:pPr>
        <w:pStyle w:val="ListBullet"/>
        <w:spacing w:after="40" w:line="245" w:lineRule="auto"/>
        <w:ind w:left="259" w:hanging="173"/>
      </w:pPr>
      <w:r>
        <w:rPr>
          <w:rFonts w:ascii="Aptos" w:hAnsi="Aptos"/>
          <w:color w:val="1D252C"/>
          <w:sz w:val="18"/>
        </w:rPr>
        <w:t>Permissions: enforced per server action through packages/permissions.</w:t>
      </w:r>
    </w:p>
    <w:p>
      <w:pPr>
        <w:pStyle w:val="ListBullet"/>
        <w:spacing w:after="40" w:line="245" w:lineRule="auto"/>
        <w:ind w:left="259" w:hanging="173"/>
      </w:pPr>
      <w:r>
        <w:rPr>
          <w:rFonts w:ascii="Aptos" w:hAnsi="Aptos"/>
          <w:color w:val="1D252C"/>
          <w:sz w:val="18"/>
        </w:rPr>
        <w:t>Staff/mobile telemetry must function offline where the current close flow is expected to function offline.</w:t>
      </w:r>
    </w:p>
    <w:p>
      <w:pPr>
        <w:pStyle w:val="Heading1"/>
        <w:spacing w:before="200" w:after="80"/>
        <w:keepNext w:val="1"/>
      </w:pPr>
      <w:r>
        <w:t>2. Target architecture: add a workload control plane</w:t>
      </w:r>
    </w:p>
    <w:p>
      <w:pPr>
        <w:spacing w:after="100" w:line="250" w:lineRule="auto"/>
      </w:pPr>
      <w:r>
        <w:rPr>
          <w:rFonts w:ascii="Aptos" w:hAnsi="Aptos"/>
          <w:i w:val="0"/>
        </w:rPr>
        <w:t>The core architectural change is to stop treating a task row or calendar item as the schedulable object. Mature field-service products separate the underlying work definition from the requirement used by the scheduling system. Dynamics 365, for example, uses a resource requirement that carries duration, permissible dates, promise window, work location, territory, required characteristics, resource type and priority. Well Kept needs the household-operations version of that pattern, with substantially richer persistence of context and open loops.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1872"/>
            <w:shd w:fill="17324D"/>
            <w:tcMar>
              <w:top w:w="70" w:type="dxa"/>
              <w:start w:w="90" w:type="dxa"/>
              <w:bottom w:w="70" w:type="dxa"/>
              <w:end w:w="90" w:type="dxa"/>
            </w:tcMar>
            <w:vAlign w:val="center"/>
          </w:tcPr>
          <w:p>
            <w:pPr>
              <w:spacing w:after="0" w:before="0"/>
            </w:pPr>
            <w:r/>
            <w:r>
              <w:rPr>
                <w:rFonts w:ascii="Aptos" w:hAnsi="Aptos"/>
                <w:b/>
                <w:color w:val="FFFFFF"/>
                <w:sz w:val="16"/>
              </w:rPr>
              <w:t>Layer</w:t>
            </w:r>
          </w:p>
        </w:tc>
        <w:tc>
          <w:tcPr>
            <w:tcW w:type="dxa" w:w="2664"/>
            <w:shd w:fill="17324D"/>
            <w:tcMar>
              <w:top w:w="70" w:type="dxa"/>
              <w:start w:w="90" w:type="dxa"/>
              <w:bottom w:w="70" w:type="dxa"/>
              <w:end w:w="90" w:type="dxa"/>
            </w:tcMar>
            <w:vAlign w:val="center"/>
          </w:tcPr>
          <w:p>
            <w:pPr>
              <w:spacing w:after="0" w:before="0"/>
            </w:pPr>
            <w:r/>
            <w:r>
              <w:rPr>
                <w:rFonts w:ascii="Aptos" w:hAnsi="Aptos"/>
                <w:b/>
                <w:color w:val="FFFFFF"/>
                <w:sz w:val="16"/>
              </w:rPr>
              <w:t>Canonical object</w:t>
            </w:r>
          </w:p>
        </w:tc>
        <w:tc>
          <w:tcPr>
            <w:tcW w:type="dxa" w:w="6336"/>
            <w:shd w:fill="17324D"/>
            <w:tcMar>
              <w:top w:w="70" w:type="dxa"/>
              <w:start w:w="90" w:type="dxa"/>
              <w:bottom w:w="70" w:type="dxa"/>
              <w:end w:w="90" w:type="dxa"/>
            </w:tcMar>
            <w:vAlign w:val="center"/>
          </w:tcPr>
          <w:p>
            <w:pPr>
              <w:spacing w:after="0" w:before="0"/>
            </w:pPr>
            <w:r/>
            <w:r>
              <w:rPr>
                <w:rFonts w:ascii="Aptos" w:hAnsi="Aptos"/>
                <w:b/>
                <w:color w:val="FFFFFF"/>
                <w:sz w:val="16"/>
              </w:rPr>
              <w:t>Purpose</w:t>
            </w:r>
          </w:p>
        </w:tc>
      </w:tr>
      <w:tr>
        <w:trPr>
          <w:cantSplit w:val="1"/>
        </w:trPr>
        <w:tc>
          <w:tcPr>
            <w:tcW w:type="dxa" w:w="1872"/>
            <w:tcMar>
              <w:top w:w="70" w:type="dxa"/>
              <w:start w:w="90" w:type="dxa"/>
              <w:bottom w:w="70" w:type="dxa"/>
              <w:end w:w="90" w:type="dxa"/>
            </w:tcMar>
            <w:vAlign w:val="top"/>
          </w:tcPr>
          <w:p>
            <w:pPr>
              <w:spacing w:after="0" w:before="0"/>
            </w:pPr>
            <w:r/>
            <w:r>
              <w:rPr>
                <w:rFonts w:ascii="Aptos" w:hAnsi="Aptos"/>
                <w:b w:val="0"/>
                <w:color w:val="1D252C"/>
                <w:sz w:val="16"/>
              </w:rPr>
              <w:t>Global definition</w:t>
            </w:r>
          </w:p>
        </w:tc>
        <w:tc>
          <w:tcPr>
            <w:tcW w:type="dxa" w:w="2664"/>
            <w:tcMar>
              <w:top w:w="70" w:type="dxa"/>
              <w:start w:w="90" w:type="dxa"/>
              <w:bottom w:w="70" w:type="dxa"/>
              <w:end w:w="90" w:type="dxa"/>
            </w:tcMar>
            <w:vAlign w:val="top"/>
          </w:tcPr>
          <w:p>
            <w:pPr>
              <w:spacing w:after="0" w:before="0"/>
            </w:pPr>
            <w:r/>
            <w:r>
              <w:rPr>
                <w:rFonts w:ascii="Aptos" w:hAnsi="Aptos"/>
                <w:b w:val="0"/>
                <w:color w:val="1D252C"/>
                <w:sz w:val="16"/>
              </w:rPr>
              <w:t>Task Definition</w:t>
            </w:r>
          </w:p>
        </w:tc>
        <w:tc>
          <w:tcPr>
            <w:tcW w:type="dxa" w:w="6336"/>
            <w:tcMar>
              <w:top w:w="70" w:type="dxa"/>
              <w:start w:w="90" w:type="dxa"/>
              <w:bottom w:w="70" w:type="dxa"/>
              <w:end w:w="90" w:type="dxa"/>
            </w:tcMar>
            <w:vAlign w:val="top"/>
          </w:tcPr>
          <w:p>
            <w:pPr>
              <w:spacing w:after="0" w:before="0"/>
            </w:pPr>
            <w:r/>
            <w:r>
              <w:rPr>
                <w:rFonts w:ascii="Aptos" w:hAnsi="Aptos"/>
                <w:b w:val="0"/>
                <w:color w:val="1D252C"/>
                <w:sz w:val="16"/>
              </w:rPr>
              <w:t>What T-001 to T-344 means; service level, pack/category, scope and links to standards.</w:t>
            </w:r>
          </w:p>
        </w:tc>
      </w:tr>
      <w:tr>
        <w:trPr>
          <w:cantSplit w:val="1"/>
        </w:trPr>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Evidence</w:t>
            </w:r>
          </w:p>
        </w:tc>
        <w:tc>
          <w:tcPr>
            <w:tcW w:type="dxa" w:w="2664"/>
            <w:shd w:fill="FAFBFC"/>
            <w:tcMar>
              <w:top w:w="70" w:type="dxa"/>
              <w:start w:w="90" w:type="dxa"/>
              <w:bottom w:w="70" w:type="dxa"/>
              <w:end w:w="90" w:type="dxa"/>
            </w:tcMar>
            <w:vAlign w:val="top"/>
          </w:tcPr>
          <w:p>
            <w:pPr>
              <w:spacing w:after="0" w:before="0"/>
            </w:pPr>
            <w:r/>
            <w:r>
              <w:rPr>
                <w:rFonts w:ascii="Aptos" w:hAnsi="Aptos"/>
                <w:b w:val="0"/>
                <w:color w:val="1D252C"/>
                <w:sz w:val="16"/>
              </w:rPr>
              <w:t>Task Evidence</w:t>
            </w:r>
          </w:p>
        </w:tc>
        <w:tc>
          <w:tcPr>
            <w:tcW w:type="dxa" w:w="6336"/>
            <w:shd w:fill="FAFBFC"/>
            <w:tcMar>
              <w:top w:w="70" w:type="dxa"/>
              <w:start w:w="90" w:type="dxa"/>
              <w:bottom w:w="70" w:type="dxa"/>
              <w:end w:w="90" w:type="dxa"/>
            </w:tcMar>
            <w:vAlign w:val="top"/>
          </w:tcPr>
          <w:p>
            <w:pPr>
              <w:spacing w:after="0" w:before="0"/>
            </w:pPr>
            <w:r/>
            <w:r>
              <w:rPr>
                <w:rFonts w:ascii="Aptos" w:hAnsi="Aptos"/>
                <w:b w:val="0"/>
                <w:color w:val="1D252C"/>
                <w:sz w:val="16"/>
              </w:rPr>
              <w:t>External and internal observations, structured references, clocks, ranges, source quality and scope match.</w:t>
            </w:r>
          </w:p>
        </w:tc>
      </w:tr>
      <w:tr>
        <w:trPr>
          <w:cantSplit w:val="1"/>
        </w:trPr>
        <w:tc>
          <w:tcPr>
            <w:tcW w:type="dxa" w:w="1872"/>
            <w:tcMar>
              <w:top w:w="70" w:type="dxa"/>
              <w:start w:w="90" w:type="dxa"/>
              <w:bottom w:w="70" w:type="dxa"/>
              <w:end w:w="90" w:type="dxa"/>
            </w:tcMar>
            <w:vAlign w:val="top"/>
          </w:tcPr>
          <w:p>
            <w:pPr>
              <w:spacing w:after="0" w:before="0"/>
            </w:pPr>
            <w:r/>
            <w:r>
              <w:rPr>
                <w:rFonts w:ascii="Aptos" w:hAnsi="Aptos"/>
                <w:b w:val="0"/>
                <w:color w:val="1D252C"/>
                <w:sz w:val="16"/>
              </w:rPr>
              <w:t>Household configuration</w:t>
            </w:r>
          </w:p>
        </w:tc>
        <w:tc>
          <w:tcPr>
            <w:tcW w:type="dxa" w:w="2664"/>
            <w:tcMar>
              <w:top w:w="70" w:type="dxa"/>
              <w:start w:w="90" w:type="dxa"/>
              <w:bottom w:w="70" w:type="dxa"/>
              <w:end w:w="90" w:type="dxa"/>
            </w:tcMar>
            <w:vAlign w:val="top"/>
          </w:tcPr>
          <w:p>
            <w:pPr>
              <w:spacing w:after="0" w:before="0"/>
            </w:pPr>
            <w:r/>
            <w:r>
              <w:rPr>
                <w:rFonts w:ascii="Aptos" w:hAnsi="Aptos"/>
                <w:b w:val="0"/>
                <w:color w:val="1D252C"/>
                <w:sz w:val="16"/>
              </w:rPr>
              <w:t>Household Task Profile</w:t>
            </w:r>
          </w:p>
        </w:tc>
        <w:tc>
          <w:tcPr>
            <w:tcW w:type="dxa" w:w="6336"/>
            <w:tcMar>
              <w:top w:w="70" w:type="dxa"/>
              <w:start w:w="90" w:type="dxa"/>
              <w:bottom w:w="70" w:type="dxa"/>
              <w:end w:w="90" w:type="dxa"/>
            </w:tcMar>
            <w:vAlign w:val="top"/>
          </w:tcPr>
          <w:p>
            <w:pPr>
              <w:spacing w:after="0" w:before="0"/>
            </w:pPr>
            <w:r/>
            <w:r>
              <w:rPr>
                <w:rFonts w:ascii="Aptos" w:hAnsi="Aptos"/>
                <w:b w:val="0"/>
                <w:color w:val="1D252C"/>
                <w:sz w:val="16"/>
              </w:rPr>
              <w:t>How the task behaves in this home: active/inactive, quantity drivers, cadence, environment, preferences, assets, dependencies and learned baseline.</w:t>
            </w:r>
          </w:p>
        </w:tc>
      </w:tr>
      <w:tr>
        <w:trPr>
          <w:cantSplit w:val="1"/>
        </w:trPr>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Date-specific demand</w:t>
            </w:r>
          </w:p>
        </w:tc>
        <w:tc>
          <w:tcPr>
            <w:tcW w:type="dxa" w:w="2664"/>
            <w:shd w:fill="FAFBFC"/>
            <w:tcMar>
              <w:top w:w="70" w:type="dxa"/>
              <w:start w:w="90" w:type="dxa"/>
              <w:bottom w:w="70" w:type="dxa"/>
              <w:end w:w="90" w:type="dxa"/>
            </w:tcMar>
            <w:vAlign w:val="top"/>
          </w:tcPr>
          <w:p>
            <w:pPr>
              <w:spacing w:after="0" w:before="0"/>
            </w:pPr>
            <w:r/>
            <w:r>
              <w:rPr>
                <w:rFonts w:ascii="Aptos" w:hAnsi="Aptos"/>
                <w:b w:val="0"/>
                <w:color w:val="1D252C"/>
                <w:sz w:val="16"/>
              </w:rPr>
              <w:t>Work Requirement</w:t>
            </w:r>
          </w:p>
        </w:tc>
        <w:tc>
          <w:tcPr>
            <w:tcW w:type="dxa" w:w="6336"/>
            <w:shd w:fill="FAFBFC"/>
            <w:tcMar>
              <w:top w:w="70" w:type="dxa"/>
              <w:start w:w="90" w:type="dxa"/>
              <w:bottom w:w="70" w:type="dxa"/>
              <w:end w:w="90" w:type="dxa"/>
            </w:tcMar>
            <w:vAlign w:val="top"/>
          </w:tcPr>
          <w:p>
            <w:pPr>
              <w:spacing w:after="0" w:before="0"/>
            </w:pPr>
            <w:r/>
            <w:r>
              <w:rPr>
                <w:rFonts w:ascii="Aptos" w:hAnsi="Aptos"/>
                <w:b w:val="0"/>
                <w:color w:val="1D252C"/>
                <w:sz w:val="16"/>
              </w:rPr>
              <w:t>The actual schedulable unit for a given date/window/event, with quantity, predicted effort, constraints, priority, decision state and confidence.</w:t>
            </w:r>
          </w:p>
        </w:tc>
      </w:tr>
      <w:tr>
        <w:trPr>
          <w:cantSplit w:val="1"/>
        </w:trPr>
        <w:tc>
          <w:tcPr>
            <w:tcW w:type="dxa" w:w="1872"/>
            <w:tcMar>
              <w:top w:w="70" w:type="dxa"/>
              <w:start w:w="90" w:type="dxa"/>
              <w:bottom w:w="70" w:type="dxa"/>
              <w:end w:w="90" w:type="dxa"/>
            </w:tcMar>
            <w:vAlign w:val="top"/>
          </w:tcPr>
          <w:p>
            <w:pPr>
              <w:spacing w:after="0" w:before="0"/>
            </w:pPr>
            <w:r/>
            <w:r>
              <w:rPr>
                <w:rFonts w:ascii="Aptos" w:hAnsi="Aptos"/>
                <w:b w:val="0"/>
                <w:color w:val="1D252C"/>
                <w:sz w:val="16"/>
              </w:rPr>
              <w:t>Estimate trace</w:t>
            </w:r>
          </w:p>
        </w:tc>
        <w:tc>
          <w:tcPr>
            <w:tcW w:type="dxa" w:w="2664"/>
            <w:tcMar>
              <w:top w:w="70" w:type="dxa"/>
              <w:start w:w="90" w:type="dxa"/>
              <w:bottom w:w="70" w:type="dxa"/>
              <w:end w:w="90" w:type="dxa"/>
            </w:tcMar>
            <w:vAlign w:val="top"/>
          </w:tcPr>
          <w:p>
            <w:pPr>
              <w:spacing w:after="0" w:before="0"/>
            </w:pPr>
            <w:r/>
            <w:r>
              <w:rPr>
                <w:rFonts w:ascii="Aptos" w:hAnsi="Aptos"/>
                <w:b w:val="0"/>
                <w:color w:val="1D252C"/>
                <w:sz w:val="16"/>
              </w:rPr>
              <w:t>Estimate Snapshot</w:t>
            </w:r>
          </w:p>
        </w:tc>
        <w:tc>
          <w:tcPr>
            <w:tcW w:type="dxa" w:w="6336"/>
            <w:tcMar>
              <w:top w:w="70" w:type="dxa"/>
              <w:start w:w="90" w:type="dxa"/>
              <w:bottom w:w="70" w:type="dxa"/>
              <w:end w:w="90" w:type="dxa"/>
            </w:tcMar>
            <w:vAlign w:val="top"/>
          </w:tcPr>
          <w:p>
            <w:pPr>
              <w:spacing w:after="0" w:before="0"/>
            </w:pPr>
            <w:r/>
            <w:r>
              <w:rPr>
                <w:rFonts w:ascii="Aptos" w:hAnsi="Aptos"/>
                <w:b w:val="0"/>
                <w:color w:val="1D252C"/>
                <w:sz w:val="16"/>
              </w:rPr>
              <w:t>The exact inputs and versioned calculation used when the schedule/forecast was produced.</w:t>
            </w:r>
          </w:p>
        </w:tc>
      </w:tr>
      <w:tr>
        <w:trPr>
          <w:cantSplit w:val="1"/>
        </w:trPr>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Execution</w:t>
            </w:r>
          </w:p>
        </w:tc>
        <w:tc>
          <w:tcPr>
            <w:tcW w:type="dxa" w:w="2664"/>
            <w:shd w:fill="FAFBFC"/>
            <w:tcMar>
              <w:top w:w="70" w:type="dxa"/>
              <w:start w:w="90" w:type="dxa"/>
              <w:bottom w:w="70" w:type="dxa"/>
              <w:end w:w="90" w:type="dxa"/>
            </w:tcMar>
            <w:vAlign w:val="top"/>
          </w:tcPr>
          <w:p>
            <w:pPr>
              <w:spacing w:after="0" w:before="0"/>
            </w:pPr>
            <w:r/>
            <w:r>
              <w:rPr>
                <w:rFonts w:ascii="Aptos" w:hAnsi="Aptos"/>
                <w:b w:val="0"/>
                <w:color w:val="1D252C"/>
                <w:sz w:val="16"/>
              </w:rPr>
              <w:t>Task Occurrence + Time Segments</w:t>
            </w:r>
          </w:p>
        </w:tc>
        <w:tc>
          <w:tcPr>
            <w:tcW w:type="dxa" w:w="6336"/>
            <w:shd w:fill="FAFBFC"/>
            <w:tcMar>
              <w:top w:w="70" w:type="dxa"/>
              <w:start w:w="90" w:type="dxa"/>
              <w:bottom w:w="70" w:type="dxa"/>
              <w:end w:w="90" w:type="dxa"/>
            </w:tcMar>
            <w:vAlign w:val="top"/>
          </w:tcPr>
          <w:p>
            <w:pPr>
              <w:spacing w:after="0" w:before="0"/>
            </w:pPr>
            <w:r/>
            <w:r>
              <w:rPr>
                <w:rFonts w:ascii="Aptos" w:hAnsi="Aptos"/>
                <w:b w:val="0"/>
                <w:color w:val="1D252C"/>
                <w:sz w:val="16"/>
              </w:rPr>
              <w:t>What happened: units, segments, actuals, exception reasons, completion-to-standard and rework.</w:t>
            </w:r>
          </w:p>
        </w:tc>
      </w:tr>
      <w:tr>
        <w:trPr>
          <w:cantSplit w:val="1"/>
        </w:trPr>
        <w:tc>
          <w:tcPr>
            <w:tcW w:type="dxa" w:w="1872"/>
            <w:tcMar>
              <w:top w:w="70" w:type="dxa"/>
              <w:start w:w="90" w:type="dxa"/>
              <w:bottom w:w="70" w:type="dxa"/>
              <w:end w:w="90" w:type="dxa"/>
            </w:tcMar>
            <w:vAlign w:val="top"/>
          </w:tcPr>
          <w:p>
            <w:pPr>
              <w:spacing w:after="0" w:before="0"/>
            </w:pPr>
            <w:r/>
            <w:r>
              <w:rPr>
                <w:rFonts w:ascii="Aptos" w:hAnsi="Aptos"/>
                <w:b w:val="0"/>
                <w:color w:val="1D252C"/>
                <w:sz w:val="16"/>
              </w:rPr>
              <w:t>Forecast</w:t>
            </w:r>
          </w:p>
        </w:tc>
        <w:tc>
          <w:tcPr>
            <w:tcW w:type="dxa" w:w="2664"/>
            <w:tcMar>
              <w:top w:w="70" w:type="dxa"/>
              <w:start w:w="90" w:type="dxa"/>
              <w:bottom w:w="70" w:type="dxa"/>
              <w:end w:w="90" w:type="dxa"/>
            </w:tcMar>
            <w:vAlign w:val="top"/>
          </w:tcPr>
          <w:p>
            <w:pPr>
              <w:spacing w:after="0" w:before="0"/>
            </w:pPr>
            <w:r/>
            <w:r>
              <w:rPr>
                <w:rFonts w:ascii="Aptos" w:hAnsi="Aptos"/>
                <w:b w:val="0"/>
                <w:color w:val="1D252C"/>
                <w:sz w:val="16"/>
              </w:rPr>
              <w:t>Household Workload Forecast</w:t>
            </w:r>
          </w:p>
        </w:tc>
        <w:tc>
          <w:tcPr>
            <w:tcW w:type="dxa" w:w="6336"/>
            <w:tcMar>
              <w:top w:w="70" w:type="dxa"/>
              <w:start w:w="90" w:type="dxa"/>
              <w:bottom w:w="70" w:type="dxa"/>
              <w:end w:w="90" w:type="dxa"/>
            </w:tcMar>
            <w:vAlign w:val="top"/>
          </w:tcPr>
          <w:p>
            <w:pPr>
              <w:spacing w:after="0" w:before="0"/>
            </w:pPr>
            <w:r/>
            <w:r>
              <w:rPr>
                <w:rFonts w:ascii="Aptos" w:hAnsi="Aptos"/>
                <w:b w:val="0"/>
                <w:color w:val="1D252C"/>
                <w:sz w:val="16"/>
              </w:rPr>
              <w:t>Projected workload across a configurable horizon, with P50/P80, confidence and drivers.</w:t>
            </w:r>
          </w:p>
        </w:tc>
      </w:tr>
      <w:tr>
        <w:trPr>
          <w:cantSplit w:val="1"/>
        </w:trPr>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Book capacity</w:t>
            </w:r>
          </w:p>
        </w:tc>
        <w:tc>
          <w:tcPr>
            <w:tcW w:type="dxa" w:w="2664"/>
            <w:shd w:fill="FAFBFC"/>
            <w:tcMar>
              <w:top w:w="70" w:type="dxa"/>
              <w:start w:w="90" w:type="dxa"/>
              <w:bottom w:w="70" w:type="dxa"/>
              <w:end w:w="90" w:type="dxa"/>
            </w:tcMar>
            <w:vAlign w:val="top"/>
          </w:tcPr>
          <w:p>
            <w:pPr>
              <w:spacing w:after="0" w:before="0"/>
            </w:pPr>
            <w:r/>
            <w:r>
              <w:rPr>
                <w:rFonts w:ascii="Aptos" w:hAnsi="Aptos"/>
                <w:b w:val="0"/>
                <w:color w:val="1D252C"/>
                <w:sz w:val="16"/>
              </w:rPr>
              <w:t>HOM Capacity Snapshot</w:t>
            </w:r>
          </w:p>
        </w:tc>
        <w:tc>
          <w:tcPr>
            <w:tcW w:type="dxa" w:w="6336"/>
            <w:shd w:fill="FAFBFC"/>
            <w:tcMar>
              <w:top w:w="70" w:type="dxa"/>
              <w:start w:w="90" w:type="dxa"/>
              <w:bottom w:w="70" w:type="dxa"/>
              <w:end w:w="90" w:type="dxa"/>
            </w:tcMar>
            <w:vAlign w:val="top"/>
          </w:tcPr>
          <w:p>
            <w:pPr>
              <w:spacing w:after="0" w:before="0"/>
            </w:pPr>
            <w:r/>
            <w:r>
              <w:rPr>
                <w:rFonts w:ascii="Aptos" w:hAnsi="Aptos"/>
                <w:b w:val="0"/>
                <w:color w:val="1D252C"/>
                <w:sz w:val="16"/>
              </w:rPr>
              <w:t>All household demand plus travel/access, remote work, reserve and resource availability.</w:t>
            </w:r>
          </w:p>
        </w:tc>
      </w:tr>
    </w:tbl>
    <w:p>
      <w:pPr>
        <w:spacing w:after="20"/>
      </w:pPr>
    </w:p>
    <w:p>
      <w:pPr>
        <w:pStyle w:val="Heading2"/>
        <w:spacing w:before="140" w:after="80"/>
        <w:keepNext w:val="1"/>
      </w:pPr>
      <w:r>
        <w:t>2.1 Proposed package/module boundaries</w:t>
      </w:r>
    </w:p>
    <w:p>
      <w:pPr>
        <w:spacing w:after="100" w:line="250" w:lineRule="auto"/>
      </w:pPr>
      <w:r>
        <w:rPr>
          <w:rFonts w:ascii="Aptos" w:hAnsi="Aptos"/>
          <w:i w:val="0"/>
        </w:rPr>
        <w:t>Keep these inside the current modular monolith. Do not create standalone services solely for this feature.</w:t>
      </w:r>
    </w:p>
    <w:tbl>
      <w:tblPr>
        <w:tblStyle w:val="TableGrid"/>
        <w:tblW w:type="auto" w:w="0"/>
        <w:tblLook w:firstColumn="1" w:firstRow="1" w:lastColumn="0" w:lastRow="0" w:noHBand="0" w:noVBand="1" w:val="04A0"/>
      </w:tblPr>
      <w:tblGrid>
        <w:gridCol w:w="10166"/>
      </w:tblGrid>
      <w:tr>
        <w:trPr>
          <w:cantSplit w:val="1"/>
        </w:trPr>
        <w:tc>
          <w:tcPr>
            <w:tcW w:type="dxa" w:w="10166"/>
            <w:shd w:fill="F5F7F8"/>
            <w:tcMar>
              <w:top w:w="90" w:type="dxa"/>
              <w:start w:w="110" w:type="dxa"/>
              <w:bottom w:w="90" w:type="dxa"/>
              <w:end w:w="110" w:type="dxa"/>
            </w:tcMar>
          </w:tcPr>
          <w:p>
            <w:pPr>
              <w:spacing w:after="0"/>
            </w:pPr>
            <w:r>
              <w:rPr>
                <w:rFonts w:ascii="Consolas" w:hAnsi="Consolas"/>
                <w:color w:val="1D252C"/>
                <w:sz w:val="16"/>
              </w:rPr>
              <w:t>packages/schema</w:t>
              <w:br/>
              <w:t xml:space="preserve">  task-evidence.ts</w:t>
              <w:br/>
              <w:t xml:space="preserve">  household-task-profile.ts</w:t>
              <w:br/>
              <w:t xml:space="preserve">  work-requirement.ts</w:t>
              <w:br/>
              <w:t xml:space="preserve">  execution-segment.ts</w:t>
              <w:br/>
              <w:t xml:space="preserve">  workload-forecast.ts</w:t>
              <w:br/>
              <w:br/>
              <w:t>packages/workload</w:t>
              <w:br/>
              <w:t xml:space="preserve">  estimate.ts</w:t>
              <w:br/>
              <w:t xml:space="preserve">  confidence.ts</w:t>
              <w:br/>
              <w:t xml:space="preserve">  quantity.ts</w:t>
              <w:br/>
              <w:t xml:space="preserve">  modifiers.ts</w:t>
              <w:br/>
              <w:t xml:space="preserve">  occurrence-generation.ts</w:t>
              <w:br/>
              <w:t xml:space="preserve">  capacity.ts</w:t>
              <w:br/>
              <w:t xml:space="preserve">  scenario.ts</w:t>
              <w:br/>
              <w:br/>
              <w:t>packages/evidence</w:t>
              <w:br/>
              <w:t xml:space="preserve">  source-registry.ts</w:t>
              <w:br/>
              <w:t xml:space="preserve">  evidence-resolution.ts</w:t>
              <w:br/>
              <w:t xml:space="preserve">  usage-rights.ts</w:t>
              <w:br/>
              <w:br/>
              <w:t>services/worker</w:t>
              <w:br/>
              <w:t xml:space="preserve">  recompute-work-requirements</w:t>
              <w:br/>
              <w:t xml:space="preserve">  recompute-household-forecast</w:t>
              <w:br/>
              <w:t xml:space="preserve">  recompute-hom-capacity</w:t>
              <w:br/>
              <w:t xml:space="preserve">  refresh-public-clocks</w:t>
              <w:br/>
              <w:t xml:space="preserve">  route-estimate-refresh</w:t>
              <w:br/>
              <w:br/>
              <w:t>apps/web</w:t>
              <w:br/>
              <w:t xml:space="preserve">  corporate forecast + scenario UI</w:t>
              <w:br/>
              <w:t xml:space="preserve">  review/approval surfaces</w:t>
              <w:br/>
              <w:br/>
              <w:t>apps/mobile</w:t>
              <w:br/>
              <w:t xml:space="preserve">  previsit workload context</w:t>
              <w:br/>
              <w:t xml:space="preserve">  low-friction actual/exception capture</w:t>
              <w:br/>
            </w:r>
          </w:p>
        </w:tc>
      </w:tr>
    </w:tbl>
    <w:p>
      <w:pPr>
        <w:pStyle w:val="Heading1"/>
        <w:spacing w:before="200" w:after="80"/>
        <w:keepNext w:val="1"/>
      </w:pPr>
      <w:r>
        <w:t>3. Data model changes</w:t>
      </w:r>
    </w:p>
    <w:p>
      <w:pPr>
        <w:pStyle w:val="Heading2"/>
        <w:spacing w:before="140" w:after="80"/>
        <w:keepNext w:val="1"/>
      </w:pPr>
      <w:r>
        <w:t>3.1 Task Evidence Store</w:t>
      </w:r>
    </w:p>
    <w:p>
      <w:pPr>
        <w:spacing w:after="100" w:line="250" w:lineRule="auto"/>
      </w:pPr>
      <w:r>
        <w:rPr>
          <w:rFonts w:ascii="Aptos" w:hAnsi="Aptos"/>
          <w:i w:val="0"/>
        </w:rPr>
        <w:t>Create a read-mostly, versioned evidence store parallel to the Standards Store. The Standards Store tells Well Kept what correct execution requires. The Evidence Store tells Well Kept what is known about time, cadence, workload, machine dwell, lead time or variability. Evidence may change without rewriting a controlled operating standard.</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088"/>
            <w:shd w:fill="17324D"/>
            <w:tcMar>
              <w:top w:w="70" w:type="dxa"/>
              <w:start w:w="90" w:type="dxa"/>
              <w:bottom w:w="70" w:type="dxa"/>
              <w:end w:w="90" w:type="dxa"/>
            </w:tcMar>
            <w:vAlign w:val="center"/>
          </w:tcPr>
          <w:p>
            <w:pPr>
              <w:spacing w:after="0" w:before="0"/>
            </w:pPr>
            <w:r/>
            <w:r>
              <w:rPr>
                <w:rFonts w:ascii="Aptos" w:hAnsi="Aptos"/>
                <w:b/>
                <w:color w:val="FFFFFF"/>
                <w:sz w:val="16"/>
              </w:rPr>
              <w:t>Field group</w:t>
            </w:r>
          </w:p>
        </w:tc>
        <w:tc>
          <w:tcPr>
            <w:tcW w:type="dxa" w:w="8784"/>
            <w:shd w:fill="17324D"/>
            <w:tcMar>
              <w:top w:w="70" w:type="dxa"/>
              <w:start w:w="90" w:type="dxa"/>
              <w:bottom w:w="70" w:type="dxa"/>
              <w:end w:w="90" w:type="dxa"/>
            </w:tcMar>
            <w:vAlign w:val="center"/>
          </w:tcPr>
          <w:p>
            <w:pPr>
              <w:spacing w:after="0" w:before="0"/>
            </w:pPr>
            <w:r/>
            <w:r>
              <w:rPr>
                <w:rFonts w:ascii="Aptos" w:hAnsi="Aptos"/>
                <w:b/>
                <w:color w:val="FFFFFF"/>
                <w:sz w:val="16"/>
              </w:rPr>
              <w:t>Required fields / guidance</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Identity</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evidence_id, task_id, source_id, evidence_version, status, created_at, reviewed_at</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Evidence tier</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external_observation | repeated_external_observation | structured_external_reference | wk_observed | wk_calibrated | wk_validated</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Fit</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direct | partial | proxy | profile_specific | asset_specific | jurisdiction_specific</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Measurement type</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active_time | elapsed_time | setup | movement | machine_dwell | wait | lead_time | deadline | cadence | expiry | payload | completion_rule | effort_score | population_time_use</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Boundary</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exact start condition, exact end condition / definition of done, included and excluded steps</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Unit</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load, bed, room, dishwasher load, square foot band, package, stop, appointment, vendor event, plant, etc.</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Value</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point estimate where appropriate; otherwise min/max, percentile, cadence, date rule or structured payload</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Context</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method/tool, environment, quantity, asset/model, household conditions, task state</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Quality</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sample size where known, spread/standard deviation where known, observed outcome, rework/quality result if reported</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Source governance</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publisher/creator, URL/document, publication/effective date, access date, jurisdiction, usage_rights, license_note, quote/reproduction restriction</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Confidence</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system-calculated confidence plus reviewer override and reason; confidence must reflect evidence tier and boundary match</w:t>
            </w:r>
          </w:p>
        </w:tc>
      </w:tr>
    </w:tbl>
    <w:p>
      <w:pPr>
        <w:spacing w:after="20"/>
      </w:pP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7F3EA"/>
            <w:tcMar>
              <w:top w:w="100" w:type="dxa"/>
              <w:start w:w="140" w:type="dxa"/>
              <w:bottom w:w="100" w:type="dxa"/>
              <w:end w:w="140" w:type="dxa"/>
            </w:tcMar>
          </w:tcPr>
          <w:p>
            <w:pPr>
              <w:spacing w:after="40"/>
            </w:pPr>
            <w:r>
              <w:rPr>
                <w:rFonts w:ascii="Aptos Display" w:hAnsi="Aptos Display"/>
                <w:b/>
                <w:color w:val="B08D2A"/>
                <w:sz w:val="20"/>
              </w:rPr>
              <w:t>Evidence is not a standard</w:t>
            </w:r>
          </w:p>
          <w:p>
            <w:pPr>
              <w:spacing w:after="0" w:line="247" w:lineRule="auto"/>
            </w:pPr>
            <w:r>
              <w:rPr>
                <w:rFonts w:ascii="Aptos" w:hAnsi="Aptos"/>
                <w:color w:val="1D252C"/>
                <w:sz w:val="18"/>
              </w:rPr>
              <w:t>A creator saying a pantry zone took 27 minutes is a useful prior for a similarly bounded task. It is not a Well Kept SLA. ISSA workloading times, manufacturer cycles, government deadlines and ATUS population data are also different measurement types. Store the type explicitly so the estimator cannot accidentally add or compare unlike clocks.</w:t>
            </w:r>
          </w:p>
        </w:tc>
      </w:tr>
    </w:tbl>
    <w:p>
      <w:pPr>
        <w:spacing w:after="20"/>
      </w:pPr>
    </w:p>
    <w:p>
      <w:pPr>
        <w:pStyle w:val="Heading2"/>
        <w:spacing w:before="140" w:after="80"/>
        <w:keepNext w:val="1"/>
      </w:pPr>
      <w:r>
        <w:t>3.2 External Source Registry</w:t>
      </w:r>
    </w:p>
    <w:p>
      <w:pPr>
        <w:spacing w:after="100" w:line="250" w:lineRule="auto"/>
      </w:pPr>
      <w:r>
        <w:rPr>
          <w:rFonts w:ascii="Aptos" w:hAnsi="Aptos"/>
          <w:i w:val="0"/>
        </w:rPr>
        <w:t>Every external evidence record should point to a Source Registry row. This is required for provenance, refresh, intellectual-property review and source retirement.</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880"/>
            <w:shd w:fill="17324D"/>
            <w:tcMar>
              <w:top w:w="70" w:type="dxa"/>
              <w:start w:w="90" w:type="dxa"/>
              <w:bottom w:w="70" w:type="dxa"/>
              <w:end w:w="90" w:type="dxa"/>
            </w:tcMar>
            <w:vAlign w:val="center"/>
          </w:tcPr>
          <w:p>
            <w:pPr>
              <w:spacing w:after="0" w:before="0"/>
            </w:pPr>
            <w:r/>
            <w:r>
              <w:rPr>
                <w:rFonts w:ascii="Aptos" w:hAnsi="Aptos"/>
                <w:b/>
                <w:color w:val="FFFFFF"/>
                <w:sz w:val="16"/>
              </w:rPr>
              <w:t>Field</w:t>
            </w:r>
          </w:p>
        </w:tc>
        <w:tc>
          <w:tcPr>
            <w:tcW w:type="dxa" w:w="7992"/>
            <w:shd w:fill="17324D"/>
            <w:tcMar>
              <w:top w:w="70" w:type="dxa"/>
              <w:start w:w="90" w:type="dxa"/>
              <w:bottom w:w="70" w:type="dxa"/>
              <w:end w:w="90" w:type="dxa"/>
            </w:tcMar>
            <w:vAlign w:val="center"/>
          </w:tcPr>
          <w:p>
            <w:pPr>
              <w:spacing w:after="0" w:before="0"/>
            </w:pPr>
            <w:r/>
            <w:r>
              <w:rPr>
                <w:rFonts w:ascii="Aptos" w:hAnsi="Aptos"/>
                <w:b/>
                <w:color w:val="FFFFFF"/>
                <w:sz w:val="16"/>
              </w:rPr>
              <w:t>Purpose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source_id / canonical_url / publisher</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Stable identity and link.</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source_class</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creator | professional_body | manufacturer | government | formal_dataset | app_design_pattern | field_service_vendor | local_public_feed.</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authority_scope</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What this source is qualified to establish. Example: Whirlpool can establish model/cycle dwell assumptions, not HOM labor.</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jurisdiction / asset_scope</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Where or to what models the source applies.</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published_at / effective_at / last_verified_at</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Allows staleness checks and replacement.</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refresh_method</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manual_review | API | ICS | document_check | vendor_manual_lookup.</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usage_rights</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public_fact | licensed_data | research_only | attribution_required | legal_review_required.</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ingestion_policy</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manual curated by default; automated only for stable/public APIs and feeds with approved terms.</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retired / superseded_by</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Never delete the historical source if an estimate snapshot used it.</w:t>
            </w:r>
          </w:p>
        </w:tc>
      </w:tr>
    </w:tbl>
    <w:p>
      <w:pPr>
        <w:spacing w:after="20"/>
      </w:pPr>
    </w:p>
    <w:p>
      <w:pPr>
        <w:pStyle w:val="Heading2"/>
        <w:spacing w:before="140" w:after="80"/>
        <w:keepNext w:val="1"/>
      </w:pPr>
      <w:r>
        <w:t>3.3 Household Task Profile</w:t>
      </w:r>
    </w:p>
    <w:p>
      <w:pPr>
        <w:spacing w:after="100" w:line="250" w:lineRule="auto"/>
      </w:pPr>
      <w:r>
        <w:rPr>
          <w:rFonts w:ascii="Aptos" w:hAnsi="Aptos"/>
          <w:i w:val="0"/>
        </w:rPr>
        <w:t>Create one Household Task Profile for each Task ID activated by the Playbook. This is the quantitative bridge currently missing between intake and scheduling.</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520"/>
            <w:shd w:fill="17324D"/>
            <w:tcMar>
              <w:top w:w="70" w:type="dxa"/>
              <w:start w:w="90" w:type="dxa"/>
              <w:bottom w:w="70" w:type="dxa"/>
              <w:end w:w="90" w:type="dxa"/>
            </w:tcMar>
            <w:vAlign w:val="center"/>
          </w:tcPr>
          <w:p>
            <w:pPr>
              <w:spacing w:after="0" w:before="0"/>
            </w:pPr>
            <w:r/>
            <w:r>
              <w:rPr>
                <w:rFonts w:ascii="Aptos" w:hAnsi="Aptos"/>
                <w:b/>
                <w:color w:val="FFFFFF"/>
                <w:sz w:val="16"/>
              </w:rPr>
              <w:t>Field family</w:t>
            </w:r>
          </w:p>
        </w:tc>
        <w:tc>
          <w:tcPr>
            <w:tcW w:type="dxa" w:w="8352"/>
            <w:shd w:fill="17324D"/>
            <w:tcMar>
              <w:top w:w="70" w:type="dxa"/>
              <w:start w:w="90" w:type="dxa"/>
              <w:bottom w:w="70" w:type="dxa"/>
              <w:end w:w="90" w:type="dxa"/>
            </w:tcMar>
            <w:vAlign w:val="center"/>
          </w:tcPr>
          <w:p>
            <w:pPr>
              <w:spacing w:after="0" w:before="0"/>
            </w:pPr>
            <w:r/>
            <w:r>
              <w:rPr>
                <w:rFonts w:ascii="Aptos" w:hAnsi="Aptos"/>
                <w:b/>
                <w:color w:val="FFFFFF"/>
                <w:sz w:val="16"/>
              </w:rPr>
              <w:t>Examples</w:t>
            </w:r>
          </w:p>
        </w:tc>
      </w:tr>
      <w:tr>
        <w:trPr>
          <w:cantSplit w:val="1"/>
        </w:trPr>
        <w:tc>
          <w:tcPr>
            <w:tcW w:type="dxa" w:w="2520"/>
            <w:tcMar>
              <w:top w:w="70" w:type="dxa"/>
              <w:start w:w="90" w:type="dxa"/>
              <w:bottom w:w="70" w:type="dxa"/>
              <w:end w:w="90" w:type="dxa"/>
            </w:tcMar>
            <w:vAlign w:val="top"/>
          </w:tcPr>
          <w:p>
            <w:pPr>
              <w:spacing w:after="0" w:before="0"/>
            </w:pPr>
            <w:r/>
            <w:r>
              <w:rPr>
                <w:rFonts w:ascii="Aptos" w:hAnsi="Aptos"/>
                <w:b w:val="0"/>
                <w:color w:val="1D252C"/>
                <w:sz w:val="16"/>
              </w:rPr>
              <w:t>Activation and scope</w:t>
            </w:r>
          </w:p>
        </w:tc>
        <w:tc>
          <w:tcPr>
            <w:tcW w:type="dxa" w:w="8352"/>
            <w:tcMar>
              <w:top w:w="70" w:type="dxa"/>
              <w:start w:w="90" w:type="dxa"/>
              <w:bottom w:w="70" w:type="dxa"/>
              <w:end w:w="90" w:type="dxa"/>
            </w:tcMar>
            <w:vAlign w:val="top"/>
          </w:tcPr>
          <w:p>
            <w:pPr>
              <w:spacing w:after="0" w:before="0"/>
            </w:pPr>
            <w:r/>
            <w:r>
              <w:rPr>
                <w:rFonts w:ascii="Aptos" w:hAnsi="Aptos"/>
                <w:b w:val="0"/>
                <w:color w:val="1D252C"/>
                <w:sz w:val="16"/>
              </w:rPr>
              <w:t>active, included/excluded, tier/pack, task boundary override only where Playbook allows it</w:t>
            </w:r>
          </w:p>
        </w:tc>
      </w:tr>
      <w:tr>
        <w:trPr>
          <w:cantSplit w:val="1"/>
        </w:trPr>
        <w:tc>
          <w:tcPr>
            <w:tcW w:type="dxa" w:w="2520"/>
            <w:shd w:fill="FAFBFC"/>
            <w:tcMar>
              <w:top w:w="70" w:type="dxa"/>
              <w:start w:w="90" w:type="dxa"/>
              <w:bottom w:w="70" w:type="dxa"/>
              <w:end w:w="90" w:type="dxa"/>
            </w:tcMar>
            <w:vAlign w:val="top"/>
          </w:tcPr>
          <w:p>
            <w:pPr>
              <w:spacing w:after="0" w:before="0"/>
            </w:pPr>
            <w:r/>
            <w:r>
              <w:rPr>
                <w:rFonts w:ascii="Aptos" w:hAnsi="Aptos"/>
                <w:b w:val="0"/>
                <w:color w:val="1D252C"/>
                <w:sz w:val="16"/>
              </w:rPr>
              <w:t>Standards linkage</w:t>
            </w:r>
          </w:p>
        </w:tc>
        <w:tc>
          <w:tcPr>
            <w:tcW w:type="dxa" w:w="8352"/>
            <w:shd w:fill="FAFBFC"/>
            <w:tcMar>
              <w:top w:w="70" w:type="dxa"/>
              <w:start w:w="90" w:type="dxa"/>
              <w:bottom w:w="70" w:type="dxa"/>
              <w:end w:w="90" w:type="dxa"/>
            </w:tcMar>
            <w:vAlign w:val="top"/>
          </w:tcPr>
          <w:p>
            <w:pPr>
              <w:spacing w:after="0" w:before="0"/>
            </w:pPr>
            <w:r/>
            <w:r>
              <w:rPr>
                <w:rFonts w:ascii="Aptos" w:hAnsi="Aptos"/>
                <w:b w:val="0"/>
                <w:color w:val="1D252C"/>
                <w:sz w:val="16"/>
              </w:rPr>
              <w:t>governing_provision_ids, method_ref, completion evidence rule</w:t>
            </w:r>
          </w:p>
        </w:tc>
      </w:tr>
      <w:tr>
        <w:trPr>
          <w:cantSplit w:val="1"/>
        </w:trPr>
        <w:tc>
          <w:tcPr>
            <w:tcW w:type="dxa" w:w="2520"/>
            <w:tcMar>
              <w:top w:w="70" w:type="dxa"/>
              <w:start w:w="90" w:type="dxa"/>
              <w:bottom w:w="70" w:type="dxa"/>
              <w:end w:w="90" w:type="dxa"/>
            </w:tcMar>
            <w:vAlign w:val="top"/>
          </w:tcPr>
          <w:p>
            <w:pPr>
              <w:spacing w:after="0" w:before="0"/>
            </w:pPr>
            <w:r/>
            <w:r>
              <w:rPr>
                <w:rFonts w:ascii="Aptos" w:hAnsi="Aptos"/>
                <w:b w:val="0"/>
                <w:color w:val="1D252C"/>
                <w:sz w:val="16"/>
              </w:rPr>
              <w:t>Quantity model</w:t>
            </w:r>
          </w:p>
        </w:tc>
        <w:tc>
          <w:tcPr>
            <w:tcW w:type="dxa" w:w="8352"/>
            <w:tcMar>
              <w:top w:w="70" w:type="dxa"/>
              <w:start w:w="90" w:type="dxa"/>
              <w:bottom w:w="70" w:type="dxa"/>
              <w:end w:w="90" w:type="dxa"/>
            </w:tcMar>
            <w:vAlign w:val="top"/>
          </w:tcPr>
          <w:p>
            <w:pPr>
              <w:spacing w:after="0" w:before="0"/>
            </w:pPr>
            <w:r/>
            <w:r>
              <w:rPr>
                <w:rFonts w:ascii="Aptos" w:hAnsi="Aptos"/>
                <w:b w:val="0"/>
                <w:color w:val="1D252C"/>
                <w:sz w:val="16"/>
              </w:rPr>
              <w:t>typical loads, beds, packages, rooms/zones, items, stops, vendor events, systems; quantity source declared/observed/derived</w:t>
            </w:r>
          </w:p>
        </w:tc>
      </w:tr>
      <w:tr>
        <w:trPr>
          <w:cantSplit w:val="1"/>
        </w:trPr>
        <w:tc>
          <w:tcPr>
            <w:tcW w:type="dxa" w:w="2520"/>
            <w:shd w:fill="FAFBFC"/>
            <w:tcMar>
              <w:top w:w="70" w:type="dxa"/>
              <w:start w:w="90" w:type="dxa"/>
              <w:bottom w:w="70" w:type="dxa"/>
              <w:end w:w="90" w:type="dxa"/>
            </w:tcMar>
            <w:vAlign w:val="top"/>
          </w:tcPr>
          <w:p>
            <w:pPr>
              <w:spacing w:after="0" w:before="0"/>
            </w:pPr>
            <w:r/>
            <w:r>
              <w:rPr>
                <w:rFonts w:ascii="Aptos" w:hAnsi="Aptos"/>
                <w:b w:val="0"/>
                <w:color w:val="1D252C"/>
                <w:sz w:val="16"/>
              </w:rPr>
              <w:t>Cadence / trigger</w:t>
            </w:r>
          </w:p>
        </w:tc>
        <w:tc>
          <w:tcPr>
            <w:tcW w:type="dxa" w:w="8352"/>
            <w:shd w:fill="FAFBFC"/>
            <w:tcMar>
              <w:top w:w="70" w:type="dxa"/>
              <w:start w:w="90" w:type="dxa"/>
              <w:bottom w:w="70" w:type="dxa"/>
              <w:end w:w="90" w:type="dxa"/>
            </w:tcMar>
            <w:vAlign w:val="top"/>
          </w:tcPr>
          <w:p>
            <w:pPr>
              <w:spacing w:after="0" w:before="0"/>
            </w:pPr>
            <w:r/>
            <w:r>
              <w:rPr>
                <w:rFonts w:ascii="Aptos" w:hAnsi="Aptos"/>
                <w:b w:val="0"/>
                <w:color w:val="1D252C"/>
                <w:sz w:val="16"/>
              </w:rPr>
              <w:t>recurrence, earliest-by/due-by, event trigger, seasonal rule, temporal-layer link</w:t>
            </w:r>
          </w:p>
        </w:tc>
      </w:tr>
      <w:tr>
        <w:trPr>
          <w:cantSplit w:val="1"/>
        </w:trPr>
        <w:tc>
          <w:tcPr>
            <w:tcW w:type="dxa" w:w="2520"/>
            <w:tcMar>
              <w:top w:w="70" w:type="dxa"/>
              <w:start w:w="90" w:type="dxa"/>
              <w:bottom w:w="70" w:type="dxa"/>
              <w:end w:w="90" w:type="dxa"/>
            </w:tcMar>
            <w:vAlign w:val="top"/>
          </w:tcPr>
          <w:p>
            <w:pPr>
              <w:spacing w:after="0" w:before="0"/>
            </w:pPr>
            <w:r/>
            <w:r>
              <w:rPr>
                <w:rFonts w:ascii="Aptos" w:hAnsi="Aptos"/>
                <w:b w:val="0"/>
                <w:color w:val="1D252C"/>
                <w:sz w:val="16"/>
              </w:rPr>
              <w:t>Environment</w:t>
            </w:r>
          </w:p>
        </w:tc>
        <w:tc>
          <w:tcPr>
            <w:tcW w:type="dxa" w:w="8352"/>
            <w:tcMar>
              <w:top w:w="70" w:type="dxa"/>
              <w:start w:w="90" w:type="dxa"/>
              <w:bottom w:w="70" w:type="dxa"/>
              <w:end w:w="90" w:type="dxa"/>
            </w:tcMar>
            <w:vAlign w:val="top"/>
          </w:tcPr>
          <w:p>
            <w:pPr>
              <w:spacing w:after="0" w:before="0"/>
            </w:pPr>
            <w:r/>
            <w:r>
              <w:rPr>
                <w:rFonts w:ascii="Aptos" w:hAnsi="Aptos"/>
                <w:b w:val="0"/>
                <w:color w:val="1D252C"/>
                <w:sz w:val="16"/>
              </w:rPr>
              <w:t>zone, floor transitions, storage location/dispersion, access rules, applicable household staff/quiet windows</w:t>
            </w:r>
          </w:p>
        </w:tc>
      </w:tr>
      <w:tr>
        <w:trPr>
          <w:cantSplit w:val="1"/>
        </w:trPr>
        <w:tc>
          <w:tcPr>
            <w:tcW w:type="dxa" w:w="2520"/>
            <w:shd w:fill="FAFBFC"/>
            <w:tcMar>
              <w:top w:w="70" w:type="dxa"/>
              <w:start w:w="90" w:type="dxa"/>
              <w:bottom w:w="70" w:type="dxa"/>
              <w:end w:w="90" w:type="dxa"/>
            </w:tcMar>
            <w:vAlign w:val="top"/>
          </w:tcPr>
          <w:p>
            <w:pPr>
              <w:spacing w:after="0" w:before="0"/>
            </w:pPr>
            <w:r/>
            <w:r>
              <w:rPr>
                <w:rFonts w:ascii="Aptos" w:hAnsi="Aptos"/>
                <w:b w:val="0"/>
                <w:color w:val="1D252C"/>
                <w:sz w:val="16"/>
              </w:rPr>
              <w:t>Assets</w:t>
            </w:r>
          </w:p>
        </w:tc>
        <w:tc>
          <w:tcPr>
            <w:tcW w:type="dxa" w:w="8352"/>
            <w:shd w:fill="FAFBFC"/>
            <w:tcMar>
              <w:top w:w="70" w:type="dxa"/>
              <w:start w:w="90" w:type="dxa"/>
              <w:bottom w:w="70" w:type="dxa"/>
              <w:end w:w="90" w:type="dxa"/>
            </w:tcMar>
            <w:vAlign w:val="top"/>
          </w:tcPr>
          <w:p>
            <w:pPr>
              <w:spacing w:after="0" w:before="0"/>
            </w:pPr>
            <w:r/>
            <w:r>
              <w:rPr>
                <w:rFonts w:ascii="Aptos" w:hAnsi="Aptos"/>
                <w:b w:val="0"/>
                <w:color w:val="1D252C"/>
                <w:sz w:val="16"/>
              </w:rPr>
              <w:t>appliance/system IDs, model-specific cycle or maintenance rules</w:t>
            </w:r>
          </w:p>
        </w:tc>
      </w:tr>
      <w:tr>
        <w:trPr>
          <w:cantSplit w:val="1"/>
        </w:trPr>
        <w:tc>
          <w:tcPr>
            <w:tcW w:type="dxa" w:w="2520"/>
            <w:tcMar>
              <w:top w:w="70" w:type="dxa"/>
              <w:start w:w="90" w:type="dxa"/>
              <w:bottom w:w="70" w:type="dxa"/>
              <w:end w:w="90" w:type="dxa"/>
            </w:tcMar>
            <w:vAlign w:val="top"/>
          </w:tcPr>
          <w:p>
            <w:pPr>
              <w:spacing w:after="0" w:before="0"/>
            </w:pPr>
            <w:r/>
            <w:r>
              <w:rPr>
                <w:rFonts w:ascii="Aptos" w:hAnsi="Aptos"/>
                <w:b w:val="0"/>
                <w:color w:val="1D252C"/>
                <w:sz w:val="16"/>
              </w:rPr>
              <w:t>Decision state</w:t>
            </w:r>
          </w:p>
        </w:tc>
        <w:tc>
          <w:tcPr>
            <w:tcW w:type="dxa" w:w="8352"/>
            <w:tcMar>
              <w:top w:w="70" w:type="dxa"/>
              <w:start w:w="90" w:type="dxa"/>
              <w:bottom w:w="70" w:type="dxa"/>
              <w:end w:w="90" w:type="dxa"/>
            </w:tcMar>
            <w:vAlign w:val="top"/>
          </w:tcPr>
          <w:p>
            <w:pPr>
              <w:spacing w:after="0" w:before="0"/>
            </w:pPr>
            <w:r/>
            <w:r>
              <w:rPr>
                <w:rFonts w:ascii="Aptos" w:hAnsi="Aptos"/>
                <w:b w:val="0"/>
                <w:color w:val="1D252C"/>
                <w:sz w:val="16"/>
              </w:rPr>
              <w:t>standing authority, propose-first, member decision needed, approver/reachability, fallback</w:t>
            </w:r>
          </w:p>
        </w:tc>
      </w:tr>
      <w:tr>
        <w:trPr>
          <w:cantSplit w:val="1"/>
        </w:trPr>
        <w:tc>
          <w:tcPr>
            <w:tcW w:type="dxa" w:w="2520"/>
            <w:shd w:fill="FAFBFC"/>
            <w:tcMar>
              <w:top w:w="70" w:type="dxa"/>
              <w:start w:w="90" w:type="dxa"/>
              <w:bottom w:w="70" w:type="dxa"/>
              <w:end w:w="90" w:type="dxa"/>
            </w:tcMar>
            <w:vAlign w:val="top"/>
          </w:tcPr>
          <w:p>
            <w:pPr>
              <w:spacing w:after="0" w:before="0"/>
            </w:pPr>
            <w:r/>
            <w:r>
              <w:rPr>
                <w:rFonts w:ascii="Aptos" w:hAnsi="Aptos"/>
                <w:b w:val="0"/>
                <w:color w:val="1D252C"/>
                <w:sz w:val="16"/>
              </w:rPr>
              <w:t>Resource requirements</w:t>
            </w:r>
          </w:p>
        </w:tc>
        <w:tc>
          <w:tcPr>
            <w:tcW w:type="dxa" w:w="8352"/>
            <w:shd w:fill="FAFBFC"/>
            <w:tcMar>
              <w:top w:w="70" w:type="dxa"/>
              <w:start w:w="90" w:type="dxa"/>
              <w:bottom w:w="70" w:type="dxa"/>
              <w:end w:w="90" w:type="dxa"/>
            </w:tcMar>
            <w:vAlign w:val="top"/>
          </w:tcPr>
          <w:p>
            <w:pPr>
              <w:spacing w:after="0" w:before="0"/>
            </w:pPr>
            <w:r/>
            <w:r>
              <w:rPr>
                <w:rFonts w:ascii="Aptos" w:hAnsi="Aptos"/>
                <w:b w:val="0"/>
                <w:color w:val="1D252C"/>
                <w:sz w:val="16"/>
              </w:rPr>
              <w:t>primary HOM, qualified backup pool, required skill/certification, vehicle/equipment/space requirement</w:t>
            </w:r>
          </w:p>
        </w:tc>
      </w:tr>
      <w:tr>
        <w:trPr>
          <w:cantSplit w:val="1"/>
        </w:trPr>
        <w:tc>
          <w:tcPr>
            <w:tcW w:type="dxa" w:w="2520"/>
            <w:tcMar>
              <w:top w:w="70" w:type="dxa"/>
              <w:start w:w="90" w:type="dxa"/>
              <w:bottom w:w="70" w:type="dxa"/>
              <w:end w:w="90" w:type="dxa"/>
            </w:tcMar>
            <w:vAlign w:val="top"/>
          </w:tcPr>
          <w:p>
            <w:pPr>
              <w:spacing w:after="0" w:before="0"/>
            </w:pPr>
            <w:r/>
            <w:r>
              <w:rPr>
                <w:rFonts w:ascii="Aptos" w:hAnsi="Aptos"/>
                <w:b w:val="0"/>
                <w:color w:val="1D252C"/>
                <w:sz w:val="16"/>
              </w:rPr>
              <w:t>Execution behavior</w:t>
            </w:r>
          </w:p>
        </w:tc>
        <w:tc>
          <w:tcPr>
            <w:tcW w:type="dxa" w:w="8352"/>
            <w:tcMar>
              <w:top w:w="70" w:type="dxa"/>
              <w:start w:w="90" w:type="dxa"/>
              <w:bottom w:w="70" w:type="dxa"/>
              <w:end w:w="90" w:type="dxa"/>
            </w:tcMar>
            <w:vAlign w:val="top"/>
          </w:tcPr>
          <w:p>
            <w:pPr>
              <w:spacing w:after="0" w:before="0"/>
            </w:pPr>
            <w:r/>
            <w:r>
              <w:rPr>
                <w:rFonts w:ascii="Aptos" w:hAnsi="Aptos"/>
                <w:b w:val="0"/>
                <w:color w:val="1D252C"/>
                <w:sz w:val="16"/>
              </w:rPr>
              <w:t>presence_required, remote_able, can_parallelize, sequence group, blocking dependencies</w:t>
            </w:r>
          </w:p>
        </w:tc>
      </w:tr>
      <w:tr>
        <w:trPr>
          <w:cantSplit w:val="1"/>
        </w:trPr>
        <w:tc>
          <w:tcPr>
            <w:tcW w:type="dxa" w:w="2520"/>
            <w:shd w:fill="FAFBFC"/>
            <w:tcMar>
              <w:top w:w="70" w:type="dxa"/>
              <w:start w:w="90" w:type="dxa"/>
              <w:bottom w:w="70" w:type="dxa"/>
              <w:end w:w="90" w:type="dxa"/>
            </w:tcMar>
            <w:vAlign w:val="top"/>
          </w:tcPr>
          <w:p>
            <w:pPr>
              <w:spacing w:after="0" w:before="0"/>
            </w:pPr>
            <w:r/>
            <w:r>
              <w:rPr>
                <w:rFonts w:ascii="Aptos" w:hAnsi="Aptos"/>
                <w:b w:val="0"/>
                <w:color w:val="1D252C"/>
                <w:sz w:val="16"/>
              </w:rPr>
              <w:t>Learned baseline</w:t>
            </w:r>
          </w:p>
        </w:tc>
        <w:tc>
          <w:tcPr>
            <w:tcW w:type="dxa" w:w="8352"/>
            <w:shd w:fill="FAFBFC"/>
            <w:tcMar>
              <w:top w:w="70" w:type="dxa"/>
              <w:start w:w="90" w:type="dxa"/>
              <w:bottom w:w="70" w:type="dxa"/>
              <w:end w:w="90" w:type="dxa"/>
            </w:tcMar>
            <w:vAlign w:val="top"/>
          </w:tcPr>
          <w:p>
            <w:pPr>
              <w:spacing w:after="0" w:before="0"/>
            </w:pPr>
            <w:r/>
            <w:r>
              <w:rPr>
                <w:rFonts w:ascii="Aptos" w:hAnsi="Aptos"/>
                <w:b w:val="0"/>
                <w:color w:val="1D252C"/>
                <w:sz w:val="16"/>
              </w:rPr>
              <w:t>household-specific estimate profile, sample count, last learned, P50/P80 where supported, variance drivers</w:t>
            </w:r>
          </w:p>
        </w:tc>
      </w:tr>
      <w:tr>
        <w:trPr>
          <w:cantSplit w:val="1"/>
        </w:trPr>
        <w:tc>
          <w:tcPr>
            <w:tcW w:type="dxa" w:w="2520"/>
            <w:tcMar>
              <w:top w:w="70" w:type="dxa"/>
              <w:start w:w="90" w:type="dxa"/>
              <w:bottom w:w="70" w:type="dxa"/>
              <w:end w:w="90" w:type="dxa"/>
            </w:tcMar>
            <w:vAlign w:val="top"/>
          </w:tcPr>
          <w:p>
            <w:pPr>
              <w:spacing w:after="0" w:before="0"/>
            </w:pPr>
            <w:r/>
            <w:r>
              <w:rPr>
                <w:rFonts w:ascii="Aptos" w:hAnsi="Aptos"/>
                <w:b w:val="0"/>
                <w:color w:val="1D252C"/>
                <w:sz w:val="16"/>
              </w:rPr>
              <w:t>Operational state</w:t>
            </w:r>
          </w:p>
        </w:tc>
        <w:tc>
          <w:tcPr>
            <w:tcW w:type="dxa" w:w="8352"/>
            <w:tcMar>
              <w:top w:w="70" w:type="dxa"/>
              <w:start w:w="90" w:type="dxa"/>
              <w:bottom w:w="70" w:type="dxa"/>
              <w:end w:w="90" w:type="dxa"/>
            </w:tcMar>
            <w:vAlign w:val="top"/>
          </w:tcPr>
          <w:p>
            <w:pPr>
              <w:spacing w:after="0" w:before="0"/>
            </w:pPr>
            <w:r/>
            <w:r>
              <w:rPr>
                <w:rFonts w:ascii="Aptos" w:hAnsi="Aptos"/>
                <w:b w:val="0"/>
                <w:color w:val="1D252C"/>
                <w:sz w:val="16"/>
              </w:rPr>
              <w:t>normal, first_time, post_travel, hosting, high_volume, seasonal_turn, disruption, other controlled state tags</w:t>
            </w:r>
          </w:p>
        </w:tc>
      </w:tr>
    </w:tbl>
    <w:p>
      <w:pPr>
        <w:spacing w:after="20"/>
      </w:pPr>
    </w:p>
    <w:p>
      <w:pPr>
        <w:pStyle w:val="Heading2"/>
        <w:spacing w:before="140" w:after="80"/>
        <w:keepNext w:val="1"/>
      </w:pPr>
      <w:r>
        <w:t>3.4 Work Requirement</w:t>
      </w:r>
    </w:p>
    <w:p>
      <w:pPr>
        <w:spacing w:after="100" w:line="250" w:lineRule="auto"/>
      </w:pPr>
      <w:r>
        <w:rPr>
          <w:rFonts w:ascii="Aptos" w:hAnsi="Aptos"/>
          <w:i w:val="0"/>
        </w:rPr>
        <w:t>A Work Requirement is the disposable, occurrence-level unit the scheduler/forecaster consumes. It should be generated by recurrence, triggers, open loops, accepted offers, commitments, external clocks or human entry.</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880"/>
            <w:shd w:fill="17324D"/>
            <w:tcMar>
              <w:top w:w="70" w:type="dxa"/>
              <w:start w:w="90" w:type="dxa"/>
              <w:bottom w:w="70" w:type="dxa"/>
              <w:end w:w="90" w:type="dxa"/>
            </w:tcMar>
            <w:vAlign w:val="center"/>
          </w:tcPr>
          <w:p>
            <w:pPr>
              <w:spacing w:after="0" w:before="0"/>
            </w:pPr>
            <w:r/>
            <w:r>
              <w:rPr>
                <w:rFonts w:ascii="Aptos" w:hAnsi="Aptos"/>
                <w:b/>
                <w:color w:val="FFFFFF"/>
                <w:sz w:val="16"/>
              </w:rPr>
              <w:t>Field</w:t>
            </w:r>
          </w:p>
        </w:tc>
        <w:tc>
          <w:tcPr>
            <w:tcW w:type="dxa" w:w="7992"/>
            <w:shd w:fill="17324D"/>
            <w:tcMar>
              <w:top w:w="70" w:type="dxa"/>
              <w:start w:w="90" w:type="dxa"/>
              <w:bottom w:w="70" w:type="dxa"/>
              <w:end w:w="90" w:type="dxa"/>
            </w:tcMar>
            <w:vAlign w:val="center"/>
          </w:tcPr>
          <w:p>
            <w:pPr>
              <w:spacing w:after="0" w:before="0"/>
            </w:pPr>
            <w:r/>
            <w:r>
              <w:rPr>
                <w:rFonts w:ascii="Aptos" w:hAnsi="Aptos"/>
                <w:b/>
                <w:color w:val="FFFFFF"/>
                <w:sz w:val="16"/>
              </w:rPr>
              <w:t>Instruction</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work_requirement_id</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UUIDv7; immutable identity.</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household_id / task_id / household_task_profile_id</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Always preserve all three for traceability.</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source_reason</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recurrence | trigger | open_loop | accepted_offer | commitment | external_clock | manual.</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stage</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anticipate | identify | decide | monitor, aligned to Four-Stage application spec.</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state</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forecast | activated | ready | scheduled | en_route | onsite | in_progress | dwell | waiting | completed | verified | deferred | cancelled | escalated | help_desk.</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quantity + unit</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Predicted quantity plus source/confidence. Actual quantity belongs on occurrence.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earliest_at / due_at / promised_window</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Separate permissible window from member promise.</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site / zone / work_location</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onsite | remote | location_agnostic; household zone where applicable.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priority</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Derived from standards/commitment/urgency; priority is not the same as effort.</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estimate_snapshot_id</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Never recalculate history in place.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hard_constraints</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Eligibility/safety/authority/access conditions that cannot be traded away.</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soft_preferences</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continuity, preferred sequence, travel minimization, preferred day/time.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dependencies</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precedes, follows, blocks, can_overlap, cannot_overlap, creates.</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resource needs</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skill, HOM/backup class, equipment, vehicle, facility/space, vendor/member presence.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decision requirement</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none | standing authority | tentative_hold | member_decision_pending.</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explanation</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Human-readable reason it exists now and why it has the predicted load.</w:t>
            </w:r>
          </w:p>
        </w:tc>
      </w:tr>
    </w:tbl>
    <w:p>
      <w:pPr>
        <w:spacing w:after="20"/>
      </w:pPr>
    </w:p>
    <w:p>
      <w:pPr>
        <w:pStyle w:val="Heading2"/>
        <w:spacing w:before="140" w:after="80"/>
        <w:keepNext w:val="1"/>
      </w:pPr>
      <w:r>
        <w:t>3.5 Task Occurrence and execution segments</w:t>
      </w:r>
    </w:p>
    <w:p>
      <w:pPr>
        <w:spacing w:after="100" w:line="250" w:lineRule="auto"/>
      </w:pPr>
      <w:r>
        <w:rPr>
          <w:rFonts w:ascii="Aptos" w:hAnsi="Aptos"/>
          <w:i w:val="0"/>
        </w:rPr>
        <w:t>Do not use a single timer as the learning record. A visit can be long because of work, waiting, access, travel or coordination. Those are different inputs for future scheduling.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088"/>
            <w:shd w:fill="17324D"/>
            <w:tcMar>
              <w:top w:w="70" w:type="dxa"/>
              <w:start w:w="90" w:type="dxa"/>
              <w:bottom w:w="70" w:type="dxa"/>
              <w:end w:w="90" w:type="dxa"/>
            </w:tcMar>
            <w:vAlign w:val="center"/>
          </w:tcPr>
          <w:p>
            <w:pPr>
              <w:spacing w:after="0" w:before="0"/>
            </w:pPr>
            <w:r/>
            <w:r>
              <w:rPr>
                <w:rFonts w:ascii="Aptos" w:hAnsi="Aptos"/>
                <w:b/>
                <w:color w:val="FFFFFF"/>
                <w:sz w:val="16"/>
              </w:rPr>
              <w:t>Segment type</w:t>
            </w:r>
          </w:p>
        </w:tc>
        <w:tc>
          <w:tcPr>
            <w:tcW w:type="dxa" w:w="6912"/>
            <w:shd w:fill="17324D"/>
            <w:tcMar>
              <w:top w:w="70" w:type="dxa"/>
              <w:start w:w="90" w:type="dxa"/>
              <w:bottom w:w="70" w:type="dxa"/>
              <w:end w:w="90" w:type="dxa"/>
            </w:tcMar>
            <w:vAlign w:val="center"/>
          </w:tcPr>
          <w:p>
            <w:pPr>
              <w:spacing w:after="0" w:before="0"/>
            </w:pPr>
            <w:r/>
            <w:r>
              <w:rPr>
                <w:rFonts w:ascii="Aptos" w:hAnsi="Aptos"/>
                <w:b/>
                <w:color w:val="FFFFFF"/>
                <w:sz w:val="16"/>
              </w:rPr>
              <w:t>What it means</w:t>
            </w:r>
          </w:p>
        </w:tc>
        <w:tc>
          <w:tcPr>
            <w:tcW w:type="dxa" w:w="1872"/>
            <w:shd w:fill="17324D"/>
            <w:tcMar>
              <w:top w:w="70" w:type="dxa"/>
              <w:start w:w="90" w:type="dxa"/>
              <w:bottom w:w="70" w:type="dxa"/>
              <w:end w:w="90" w:type="dxa"/>
            </w:tcMar>
            <w:vAlign w:val="center"/>
          </w:tcPr>
          <w:p>
            <w:pPr>
              <w:spacing w:after="0" w:before="0"/>
            </w:pPr>
            <w:r/>
            <w:r>
              <w:rPr>
                <w:rFonts w:ascii="Aptos" w:hAnsi="Aptos"/>
                <w:b/>
                <w:color w:val="FFFFFF"/>
                <w:sz w:val="16"/>
              </w:rPr>
              <w:t>Can overlap?</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access</w:t>
            </w:r>
          </w:p>
        </w:tc>
        <w:tc>
          <w:tcPr>
            <w:tcW w:type="dxa" w:w="6912"/>
            <w:tcMar>
              <w:top w:w="70" w:type="dxa"/>
              <w:start w:w="90" w:type="dxa"/>
              <w:bottom w:w="70" w:type="dxa"/>
              <w:end w:w="90" w:type="dxa"/>
            </w:tcMar>
            <w:vAlign w:val="top"/>
          </w:tcPr>
          <w:p>
            <w:pPr>
              <w:spacing w:after="0" w:before="0"/>
            </w:pPr>
            <w:r/>
            <w:r>
              <w:rPr>
                <w:rFonts w:ascii="Aptos" w:hAnsi="Aptos"/>
                <w:b w:val="0"/>
                <w:color w:val="1D252C"/>
                <w:sz w:val="16"/>
              </w:rPr>
              <w:t>parking, gate, front desk, elevator, entry/setup before useful household work</w:t>
            </w:r>
          </w:p>
        </w:tc>
        <w:tc>
          <w:tcPr>
            <w:tcW w:type="dxa" w:w="1872"/>
            <w:tcMar>
              <w:top w:w="70" w:type="dxa"/>
              <w:start w:w="90" w:type="dxa"/>
              <w:bottom w:w="70" w:type="dxa"/>
              <w:end w:w="90" w:type="dxa"/>
            </w:tcMar>
            <w:vAlign w:val="top"/>
          </w:tcPr>
          <w:p>
            <w:pPr>
              <w:spacing w:after="0" w:before="0"/>
            </w:pPr>
            <w:r/>
            <w:r>
              <w:rPr>
                <w:rFonts w:ascii="Aptos" w:hAnsi="Aptos"/>
                <w:b w:val="0"/>
                <w:color w:val="1D252C"/>
                <w:sz w:val="16"/>
              </w:rPr>
              <w:t>No, usually</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setup</w:t>
            </w:r>
          </w:p>
        </w:tc>
        <w:tc>
          <w:tcPr>
            <w:tcW w:type="dxa" w:w="6912"/>
            <w:shd w:fill="FAFBFC"/>
            <w:tcMar>
              <w:top w:w="70" w:type="dxa"/>
              <w:start w:w="90" w:type="dxa"/>
              <w:bottom w:w="70" w:type="dxa"/>
              <w:end w:w="90" w:type="dxa"/>
            </w:tcMar>
            <w:vAlign w:val="top"/>
          </w:tcPr>
          <w:p>
            <w:pPr>
              <w:spacing w:after="0" w:before="0"/>
            </w:pPr>
            <w:r/>
            <w:r>
              <w:rPr>
                <w:rFonts w:ascii="Aptos" w:hAnsi="Aptos"/>
                <w:b w:val="0"/>
                <w:color w:val="1D252C"/>
                <w:sz w:val="16"/>
              </w:rPr>
              <w:t>gather products/tools, stage materials, collect hampers/items</w:t>
            </w:r>
          </w:p>
        </w:tc>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Sometimes</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active</w:t>
            </w:r>
          </w:p>
        </w:tc>
        <w:tc>
          <w:tcPr>
            <w:tcW w:type="dxa" w:w="6912"/>
            <w:tcMar>
              <w:top w:w="70" w:type="dxa"/>
              <w:start w:w="90" w:type="dxa"/>
              <w:bottom w:w="70" w:type="dxa"/>
              <w:end w:w="90" w:type="dxa"/>
            </w:tcMar>
            <w:vAlign w:val="top"/>
          </w:tcPr>
          <w:p>
            <w:pPr>
              <w:spacing w:after="0" w:before="0"/>
            </w:pPr>
            <w:r/>
            <w:r>
              <w:rPr>
                <w:rFonts w:ascii="Aptos" w:hAnsi="Aptos"/>
                <w:b w:val="0"/>
                <w:color w:val="1D252C"/>
                <w:sz w:val="16"/>
              </w:rPr>
              <w:t>hands-on execution</w:t>
            </w:r>
          </w:p>
        </w:tc>
        <w:tc>
          <w:tcPr>
            <w:tcW w:type="dxa" w:w="1872"/>
            <w:tcMar>
              <w:top w:w="70" w:type="dxa"/>
              <w:start w:w="90" w:type="dxa"/>
              <w:bottom w:w="70" w:type="dxa"/>
              <w:end w:w="90" w:type="dxa"/>
            </w:tcMar>
            <w:vAlign w:val="top"/>
          </w:tcPr>
          <w:p>
            <w:pPr>
              <w:spacing w:after="0" w:before="0"/>
            </w:pPr>
            <w:r/>
            <w:r>
              <w:rPr>
                <w:rFonts w:ascii="Aptos" w:hAnsi="Aptos"/>
                <w:b w:val="0"/>
                <w:color w:val="1D252C"/>
                <w:sz w:val="16"/>
              </w:rPr>
              <w:t>No for same HOM</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movement</w:t>
            </w:r>
          </w:p>
        </w:tc>
        <w:tc>
          <w:tcPr>
            <w:tcW w:type="dxa" w:w="6912"/>
            <w:shd w:fill="FAFBFC"/>
            <w:tcMar>
              <w:top w:w="70" w:type="dxa"/>
              <w:start w:w="90" w:type="dxa"/>
              <w:bottom w:w="70" w:type="dxa"/>
              <w:end w:w="90" w:type="dxa"/>
            </w:tcMar>
            <w:vAlign w:val="top"/>
          </w:tcPr>
          <w:p>
            <w:pPr>
              <w:spacing w:after="0" w:before="0"/>
            </w:pPr>
            <w:r/>
            <w:r>
              <w:rPr>
                <w:rFonts w:ascii="Aptos" w:hAnsi="Aptos"/>
                <w:b w:val="0"/>
                <w:color w:val="1D252C"/>
                <w:sz w:val="16"/>
              </w:rPr>
              <w:t>walking between zones/floors specifically caused by task layout</w:t>
            </w:r>
          </w:p>
        </w:tc>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No</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machine_dwell</w:t>
            </w:r>
          </w:p>
        </w:tc>
        <w:tc>
          <w:tcPr>
            <w:tcW w:type="dxa" w:w="6912"/>
            <w:tcMar>
              <w:top w:w="70" w:type="dxa"/>
              <w:start w:w="90" w:type="dxa"/>
              <w:bottom w:w="70" w:type="dxa"/>
              <w:end w:w="90" w:type="dxa"/>
            </w:tcMar>
            <w:vAlign w:val="top"/>
          </w:tcPr>
          <w:p>
            <w:pPr>
              <w:spacing w:after="0" w:before="0"/>
            </w:pPr>
            <w:r/>
            <w:r>
              <w:rPr>
                <w:rFonts w:ascii="Aptos" w:hAnsi="Aptos"/>
                <w:b w:val="0"/>
                <w:color w:val="1D252C"/>
                <w:sz w:val="16"/>
              </w:rPr>
              <w:t>washer, dryer, dishwasher, soak, bake, charge, other process</w:t>
            </w:r>
          </w:p>
        </w:tc>
        <w:tc>
          <w:tcPr>
            <w:tcW w:type="dxa" w:w="1872"/>
            <w:tcMar>
              <w:top w:w="70" w:type="dxa"/>
              <w:start w:w="90" w:type="dxa"/>
              <w:bottom w:w="70" w:type="dxa"/>
              <w:end w:w="90" w:type="dxa"/>
            </w:tcMar>
            <w:vAlign w:val="top"/>
          </w:tcPr>
          <w:p>
            <w:pPr>
              <w:spacing w:after="0" w:before="0"/>
            </w:pPr>
            <w:r/>
            <w:r>
              <w:rPr>
                <w:rFonts w:ascii="Aptos" w:hAnsi="Aptos"/>
                <w:b w:val="0"/>
                <w:color w:val="1D252C"/>
                <w:sz w:val="16"/>
              </w:rPr>
              <w:t>Often yes</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waiting_presence</w:t>
            </w:r>
          </w:p>
        </w:tc>
        <w:tc>
          <w:tcPr>
            <w:tcW w:type="dxa" w:w="6912"/>
            <w:shd w:fill="FAFBFC"/>
            <w:tcMar>
              <w:top w:w="70" w:type="dxa"/>
              <w:start w:w="90" w:type="dxa"/>
              <w:bottom w:w="70" w:type="dxa"/>
              <w:end w:w="90" w:type="dxa"/>
            </w:tcMar>
            <w:vAlign w:val="top"/>
          </w:tcPr>
          <w:p>
            <w:pPr>
              <w:spacing w:after="0" w:before="0"/>
            </w:pPr>
            <w:r/>
            <w:r>
              <w:rPr>
                <w:rFonts w:ascii="Aptos" w:hAnsi="Aptos"/>
                <w:b w:val="0"/>
                <w:color w:val="1D252C"/>
                <w:sz w:val="16"/>
              </w:rPr>
              <w:t>vendor/member arrival or process requiring HOM to remain available</w:t>
            </w:r>
          </w:p>
        </w:tc>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Sometimes, conditionally</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remote_coordination</w:t>
            </w:r>
          </w:p>
        </w:tc>
        <w:tc>
          <w:tcPr>
            <w:tcW w:type="dxa" w:w="6912"/>
            <w:tcMar>
              <w:top w:w="70" w:type="dxa"/>
              <w:start w:w="90" w:type="dxa"/>
              <w:bottom w:w="70" w:type="dxa"/>
              <w:end w:w="90" w:type="dxa"/>
            </w:tcMar>
            <w:vAlign w:val="top"/>
          </w:tcPr>
          <w:p>
            <w:pPr>
              <w:spacing w:after="0" w:before="0"/>
            </w:pPr>
            <w:r/>
            <w:r>
              <w:rPr>
                <w:rFonts w:ascii="Aptos" w:hAnsi="Aptos"/>
                <w:b w:val="0"/>
                <w:color w:val="1D252C"/>
                <w:sz w:val="16"/>
              </w:rPr>
              <w:t>calls, research, portals, ordering, follow-up</w:t>
            </w:r>
          </w:p>
        </w:tc>
        <w:tc>
          <w:tcPr>
            <w:tcW w:type="dxa" w:w="1872"/>
            <w:tcMar>
              <w:top w:w="70" w:type="dxa"/>
              <w:start w:w="90" w:type="dxa"/>
              <w:bottom w:w="70" w:type="dxa"/>
              <w:end w:w="90" w:type="dxa"/>
            </w:tcMar>
            <w:vAlign w:val="top"/>
          </w:tcPr>
          <w:p>
            <w:pPr>
              <w:spacing w:after="0" w:before="0"/>
            </w:pPr>
            <w:r/>
            <w:r>
              <w:rPr>
                <w:rFonts w:ascii="Aptos" w:hAnsi="Aptos"/>
                <w:b w:val="0"/>
                <w:color w:val="1D252C"/>
                <w:sz w:val="16"/>
              </w:rPr>
              <w:t>May be scheduled separately</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documentation_close</w:t>
            </w:r>
          </w:p>
        </w:tc>
        <w:tc>
          <w:tcPr>
            <w:tcW w:type="dxa" w:w="6912"/>
            <w:shd w:fill="FAFBFC"/>
            <w:tcMar>
              <w:top w:w="70" w:type="dxa"/>
              <w:start w:w="90" w:type="dxa"/>
              <w:bottom w:w="70" w:type="dxa"/>
              <w:end w:w="90" w:type="dxa"/>
            </w:tcMar>
            <w:vAlign w:val="top"/>
          </w:tcPr>
          <w:p>
            <w:pPr>
              <w:spacing w:after="0" w:before="0"/>
            </w:pPr>
            <w:r/>
            <w:r>
              <w:rPr>
                <w:rFonts w:ascii="Aptos" w:hAnsi="Aptos"/>
                <w:b w:val="0"/>
                <w:color w:val="1D252C"/>
                <w:sz w:val="16"/>
              </w:rPr>
              <w:t>photos, receipt, Playbook update, open-loop creation, next-step staging</w:t>
            </w:r>
          </w:p>
        </w:tc>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No</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travel</w:t>
            </w:r>
          </w:p>
        </w:tc>
        <w:tc>
          <w:tcPr>
            <w:tcW w:type="dxa" w:w="6912"/>
            <w:tcMar>
              <w:top w:w="70" w:type="dxa"/>
              <w:start w:w="90" w:type="dxa"/>
              <w:bottom w:w="70" w:type="dxa"/>
              <w:end w:w="90" w:type="dxa"/>
            </w:tcMar>
            <w:vAlign w:val="top"/>
          </w:tcPr>
          <w:p>
            <w:pPr>
              <w:spacing w:after="0" w:before="0"/>
            </w:pPr>
            <w:r/>
            <w:r>
              <w:rPr>
                <w:rFonts w:ascii="Aptos" w:hAnsi="Aptos"/>
                <w:b w:val="0"/>
                <w:color w:val="1D252C"/>
                <w:sz w:val="16"/>
              </w:rPr>
              <w:t>between work locations</w:t>
            </w:r>
          </w:p>
        </w:tc>
        <w:tc>
          <w:tcPr>
            <w:tcW w:type="dxa" w:w="1872"/>
            <w:tcMar>
              <w:top w:w="70" w:type="dxa"/>
              <w:start w:w="90" w:type="dxa"/>
              <w:bottom w:w="70" w:type="dxa"/>
              <w:end w:w="90" w:type="dxa"/>
            </w:tcMar>
            <w:vAlign w:val="top"/>
          </w:tcPr>
          <w:p>
            <w:pPr>
              <w:spacing w:after="0" w:before="0"/>
            </w:pPr>
            <w:r/>
            <w:r>
              <w:rPr>
                <w:rFonts w:ascii="Aptos" w:hAnsi="Aptos"/>
                <w:b w:val="0"/>
                <w:color w:val="1D252C"/>
                <w:sz w:val="16"/>
              </w:rPr>
              <w:t>No</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break / nonwork</w:t>
            </w:r>
          </w:p>
        </w:tc>
        <w:tc>
          <w:tcPr>
            <w:tcW w:type="dxa" w:w="6912"/>
            <w:shd w:fill="FAFBFC"/>
            <w:tcMar>
              <w:top w:w="70" w:type="dxa"/>
              <w:start w:w="90" w:type="dxa"/>
              <w:bottom w:w="70" w:type="dxa"/>
              <w:end w:w="90" w:type="dxa"/>
            </w:tcMar>
            <w:vAlign w:val="top"/>
          </w:tcPr>
          <w:p>
            <w:pPr>
              <w:spacing w:after="0" w:before="0"/>
            </w:pPr>
            <w:r/>
            <w:r>
              <w:rPr>
                <w:rFonts w:ascii="Aptos" w:hAnsi="Aptos"/>
                <w:b w:val="0"/>
                <w:color w:val="1D252C"/>
                <w:sz w:val="16"/>
              </w:rPr>
              <w:t>kept out of task estimates</w:t>
            </w:r>
          </w:p>
        </w:tc>
        <w:tc>
          <w:tcPr>
            <w:tcW w:type="dxa" w:w="1872"/>
            <w:shd w:fill="FAFBFC"/>
            <w:tcMar>
              <w:top w:w="70" w:type="dxa"/>
              <w:start w:w="90" w:type="dxa"/>
              <w:bottom w:w="70" w:type="dxa"/>
              <w:end w:w="90" w:type="dxa"/>
            </w:tcMar>
            <w:vAlign w:val="top"/>
          </w:tcPr>
          <w:p>
            <w:pPr>
              <w:spacing w:after="0" w:before="0"/>
            </w:pPr>
            <w:r/>
            <w:r>
              <w:rPr>
                <w:rFonts w:ascii="Aptos" w:hAnsi="Aptos"/>
                <w:b w:val="0"/>
                <w:color w:val="1D252C"/>
                <w:sz w:val="16"/>
              </w:rPr>
              <w:t>n/a</w:t>
            </w:r>
          </w:p>
        </w:tc>
      </w:tr>
    </w:tbl>
    <w:p>
      <w:pPr>
        <w:spacing w:after="20"/>
      </w:pPr>
    </w:p>
    <w:p>
      <w:pPr>
        <w:spacing w:after="100" w:line="250" w:lineRule="auto"/>
      </w:pPr>
      <w:r>
        <w:rPr>
          <w:rFonts w:ascii="Aptos" w:hAnsi="Aptos"/>
          <w:i w:val="0"/>
        </w:rPr>
        <w:t>Actuals should also capture: actual quantity, completion-to-standard, rework needed, variance reason, exception state, generated open loops, and whether the occurrence was appropriate for learning.</w:t>
      </w:r>
    </w:p>
    <w:p>
      <w:pPr>
        <w:pStyle w:val="Heading1"/>
        <w:spacing w:before="200" w:after="80"/>
        <w:keepNext w:val="1"/>
      </w:pPr>
      <w:r>
        <w:t>4. Estimation and learning engine</w:t>
      </w:r>
    </w:p>
    <w:p>
      <w:pPr>
        <w:pStyle w:val="Heading2"/>
        <w:spacing w:before="140" w:after="80"/>
        <w:keepNext w:val="1"/>
      </w:pPr>
      <w:r>
        <w:t>4.1 Estimate hierarchy</w:t>
      </w:r>
    </w:p>
    <w:p>
      <w:pPr>
        <w:spacing w:after="100" w:line="250" w:lineRule="auto"/>
      </w:pPr>
      <w:r>
        <w:rPr>
          <w:rFonts w:ascii="Aptos" w:hAnsi="Aptos"/>
          <w:i w:val="0"/>
        </w:rPr>
        <w:t>Use a deterministic hierarchy. The estimate service must record which level won so every forecast can be explained.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792"/>
            <w:shd w:fill="17324D"/>
            <w:tcMar>
              <w:top w:w="70" w:type="dxa"/>
              <w:start w:w="90" w:type="dxa"/>
              <w:bottom w:w="70" w:type="dxa"/>
              <w:end w:w="90" w:type="dxa"/>
            </w:tcMar>
            <w:vAlign w:val="center"/>
          </w:tcPr>
          <w:p>
            <w:pPr>
              <w:spacing w:after="0" w:before="0"/>
            </w:pPr>
            <w:r/>
            <w:r>
              <w:rPr>
                <w:rFonts w:ascii="Aptos" w:hAnsi="Aptos"/>
                <w:b/>
                <w:color w:val="FFFFFF"/>
                <w:sz w:val="16"/>
              </w:rPr>
              <w:t>Rank</w:t>
            </w:r>
          </w:p>
        </w:tc>
        <w:tc>
          <w:tcPr>
            <w:tcW w:type="dxa" w:w="3600"/>
            <w:shd w:fill="17324D"/>
            <w:tcMar>
              <w:top w:w="70" w:type="dxa"/>
              <w:start w:w="90" w:type="dxa"/>
              <w:bottom w:w="70" w:type="dxa"/>
              <w:end w:w="90" w:type="dxa"/>
            </w:tcMar>
            <w:vAlign w:val="center"/>
          </w:tcPr>
          <w:p>
            <w:pPr>
              <w:spacing w:after="0" w:before="0"/>
            </w:pPr>
            <w:r/>
            <w:r>
              <w:rPr>
                <w:rFonts w:ascii="Aptos" w:hAnsi="Aptos"/>
                <w:b/>
                <w:color w:val="FFFFFF"/>
                <w:sz w:val="16"/>
              </w:rPr>
              <w:t>Source</w:t>
            </w:r>
          </w:p>
        </w:tc>
        <w:tc>
          <w:tcPr>
            <w:tcW w:type="dxa" w:w="6480"/>
            <w:shd w:fill="17324D"/>
            <w:tcMar>
              <w:top w:w="70" w:type="dxa"/>
              <w:start w:w="90" w:type="dxa"/>
              <w:bottom w:w="70" w:type="dxa"/>
              <w:end w:w="90" w:type="dxa"/>
            </w:tcMar>
            <w:vAlign w:val="center"/>
          </w:tcPr>
          <w:p>
            <w:pPr>
              <w:spacing w:after="0" w:before="0"/>
            </w:pPr>
            <w:r/>
            <w:r>
              <w:rPr>
                <w:rFonts w:ascii="Aptos" w:hAnsi="Aptos"/>
                <w:b/>
                <w:color w:val="FFFFFF"/>
                <w:sz w:val="16"/>
              </w:rPr>
              <w:t>Rule</w:t>
            </w:r>
          </w:p>
        </w:tc>
      </w:tr>
      <w:tr>
        <w:trPr>
          <w:cantSplit w:val="1"/>
        </w:trPr>
        <w:tc>
          <w:tcPr>
            <w:tcW w:type="dxa" w:w="792"/>
            <w:tcMar>
              <w:top w:w="70" w:type="dxa"/>
              <w:start w:w="90" w:type="dxa"/>
              <w:bottom w:w="70" w:type="dxa"/>
              <w:end w:w="90" w:type="dxa"/>
            </w:tcMar>
            <w:vAlign w:val="top"/>
          </w:tcPr>
          <w:p>
            <w:pPr>
              <w:spacing w:after="0" w:before="0"/>
            </w:pPr>
            <w:r/>
            <w:r>
              <w:rPr>
                <w:rFonts w:ascii="Aptos" w:hAnsi="Aptos"/>
                <w:b w:val="0"/>
                <w:color w:val="1D252C"/>
                <w:sz w:val="16"/>
              </w:rPr>
              <w:t>1</w:t>
            </w:r>
          </w:p>
        </w:tc>
        <w:tc>
          <w:tcPr>
            <w:tcW w:type="dxa" w:w="3600"/>
            <w:tcMar>
              <w:top w:w="70" w:type="dxa"/>
              <w:start w:w="90" w:type="dxa"/>
              <w:bottom w:w="70" w:type="dxa"/>
              <w:end w:w="90" w:type="dxa"/>
            </w:tcMar>
            <w:vAlign w:val="top"/>
          </w:tcPr>
          <w:p>
            <w:pPr>
              <w:spacing w:after="0" w:before="0"/>
            </w:pPr>
            <w:r/>
            <w:r>
              <w:rPr>
                <w:rFonts w:ascii="Aptos" w:hAnsi="Aptos"/>
                <w:b w:val="0"/>
                <w:color w:val="1D252C"/>
                <w:sz w:val="16"/>
              </w:rPr>
              <w:t>Household + Task + Configuration</w:t>
            </w:r>
          </w:p>
        </w:tc>
        <w:tc>
          <w:tcPr>
            <w:tcW w:type="dxa" w:w="6480"/>
            <w:tcMar>
              <w:top w:w="70" w:type="dxa"/>
              <w:start w:w="90" w:type="dxa"/>
              <w:bottom w:w="70" w:type="dxa"/>
              <w:end w:w="90" w:type="dxa"/>
            </w:tcMar>
            <w:vAlign w:val="top"/>
          </w:tcPr>
          <w:p>
            <w:pPr>
              <w:spacing w:after="0" w:before="0"/>
            </w:pPr>
            <w:r/>
            <w:r>
              <w:rPr>
                <w:rFonts w:ascii="Aptos" w:hAnsi="Aptos"/>
                <w:b w:val="0"/>
                <w:color w:val="1D252C"/>
                <w:sz w:val="16"/>
              </w:rPr>
              <w:t>Best source once enough clean observations exist.</w:t>
            </w:r>
          </w:p>
        </w:tc>
      </w:tr>
      <w:tr>
        <w:trPr>
          <w:cantSplit w:val="1"/>
        </w:trPr>
        <w:tc>
          <w:tcPr>
            <w:tcW w:type="dxa" w:w="792"/>
            <w:shd w:fill="FAFBFC"/>
            <w:tcMar>
              <w:top w:w="70" w:type="dxa"/>
              <w:start w:w="90" w:type="dxa"/>
              <w:bottom w:w="70" w:type="dxa"/>
              <w:end w:w="90" w:type="dxa"/>
            </w:tcMar>
            <w:vAlign w:val="top"/>
          </w:tcPr>
          <w:p>
            <w:pPr>
              <w:spacing w:after="0" w:before="0"/>
            </w:pPr>
            <w:r/>
            <w:r>
              <w:rPr>
                <w:rFonts w:ascii="Aptos" w:hAnsi="Aptos"/>
                <w:b w:val="0"/>
                <w:color w:val="1D252C"/>
                <w:sz w:val="16"/>
              </w:rPr>
              <w:t>2</w:t>
            </w:r>
          </w:p>
        </w:tc>
        <w:tc>
          <w:tcPr>
            <w:tcW w:type="dxa" w:w="3600"/>
            <w:shd w:fill="FAFBFC"/>
            <w:tcMar>
              <w:top w:w="70" w:type="dxa"/>
              <w:start w:w="90" w:type="dxa"/>
              <w:bottom w:w="70" w:type="dxa"/>
              <w:end w:w="90" w:type="dxa"/>
            </w:tcMar>
            <w:vAlign w:val="top"/>
          </w:tcPr>
          <w:p>
            <w:pPr>
              <w:spacing w:after="0" w:before="0"/>
            </w:pPr>
            <w:r/>
            <w:r>
              <w:rPr>
                <w:rFonts w:ascii="Aptos" w:hAnsi="Aptos"/>
                <w:b w:val="0"/>
                <w:color w:val="1D252C"/>
                <w:sz w:val="16"/>
              </w:rPr>
              <w:t>Household + Task Family</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6"/>
              </w:rPr>
              <w:t>Fallback when a specific configuration is new but household operating conditions are known.</w:t>
            </w:r>
          </w:p>
        </w:tc>
      </w:tr>
      <w:tr>
        <w:trPr>
          <w:cantSplit w:val="1"/>
        </w:trPr>
        <w:tc>
          <w:tcPr>
            <w:tcW w:type="dxa" w:w="792"/>
            <w:tcMar>
              <w:top w:w="70" w:type="dxa"/>
              <w:start w:w="90" w:type="dxa"/>
              <w:bottom w:w="70" w:type="dxa"/>
              <w:end w:w="90" w:type="dxa"/>
            </w:tcMar>
            <w:vAlign w:val="top"/>
          </w:tcPr>
          <w:p>
            <w:pPr>
              <w:spacing w:after="0" w:before="0"/>
            </w:pPr>
            <w:r/>
            <w:r>
              <w:rPr>
                <w:rFonts w:ascii="Aptos" w:hAnsi="Aptos"/>
                <w:b w:val="0"/>
                <w:color w:val="1D252C"/>
                <w:sz w:val="16"/>
              </w:rPr>
              <w:t>3</w:t>
            </w:r>
          </w:p>
        </w:tc>
        <w:tc>
          <w:tcPr>
            <w:tcW w:type="dxa" w:w="3600"/>
            <w:tcMar>
              <w:top w:w="70" w:type="dxa"/>
              <w:start w:w="90" w:type="dxa"/>
              <w:bottom w:w="70" w:type="dxa"/>
              <w:end w:w="90" w:type="dxa"/>
            </w:tcMar>
            <w:vAlign w:val="top"/>
          </w:tcPr>
          <w:p>
            <w:pPr>
              <w:spacing w:after="0" w:before="0"/>
            </w:pPr>
            <w:r/>
            <w:r>
              <w:rPr>
                <w:rFonts w:ascii="Aptos" w:hAnsi="Aptos"/>
                <w:b w:val="0"/>
                <w:color w:val="1D252C"/>
                <w:sz w:val="16"/>
              </w:rPr>
              <w:t>Operationally similar WK cohort + Task</w:t>
            </w:r>
          </w:p>
        </w:tc>
        <w:tc>
          <w:tcPr>
            <w:tcW w:type="dxa" w:w="6480"/>
            <w:tcMar>
              <w:top w:w="70" w:type="dxa"/>
              <w:start w:w="90" w:type="dxa"/>
              <w:bottom w:w="70" w:type="dxa"/>
              <w:end w:w="90" w:type="dxa"/>
            </w:tcMar>
            <w:vAlign w:val="top"/>
          </w:tcPr>
          <w:p>
            <w:pPr>
              <w:spacing w:after="0" w:before="0"/>
            </w:pPr>
            <w:r/>
            <w:r>
              <w:rPr>
                <w:rFonts w:ascii="Aptos" w:hAnsi="Aptos"/>
                <w:b w:val="0"/>
                <w:color w:val="1D252C"/>
                <w:sz w:val="16"/>
              </w:rPr>
              <w:t>Use only non-sensitive operational features; no protected/demographic attributes.</w:t>
            </w:r>
          </w:p>
        </w:tc>
      </w:tr>
      <w:tr>
        <w:trPr>
          <w:cantSplit w:val="1"/>
        </w:trPr>
        <w:tc>
          <w:tcPr>
            <w:tcW w:type="dxa" w:w="792"/>
            <w:shd w:fill="FAFBFC"/>
            <w:tcMar>
              <w:top w:w="70" w:type="dxa"/>
              <w:start w:w="90" w:type="dxa"/>
              <w:bottom w:w="70" w:type="dxa"/>
              <w:end w:w="90" w:type="dxa"/>
            </w:tcMar>
            <w:vAlign w:val="top"/>
          </w:tcPr>
          <w:p>
            <w:pPr>
              <w:spacing w:after="0" w:before="0"/>
            </w:pPr>
            <w:r/>
            <w:r>
              <w:rPr>
                <w:rFonts w:ascii="Aptos" w:hAnsi="Aptos"/>
                <w:b w:val="0"/>
                <w:color w:val="1D252C"/>
                <w:sz w:val="16"/>
              </w:rPr>
              <w:t>4</w:t>
            </w:r>
          </w:p>
        </w:tc>
        <w:tc>
          <w:tcPr>
            <w:tcW w:type="dxa" w:w="3600"/>
            <w:shd w:fill="FAFBFC"/>
            <w:tcMar>
              <w:top w:w="70" w:type="dxa"/>
              <w:start w:w="90" w:type="dxa"/>
              <w:bottom w:w="70" w:type="dxa"/>
              <w:end w:w="90" w:type="dxa"/>
            </w:tcMar>
            <w:vAlign w:val="top"/>
          </w:tcPr>
          <w:p>
            <w:pPr>
              <w:spacing w:after="0" w:before="0"/>
            </w:pPr>
            <w:r/>
            <w:r>
              <w:rPr>
                <w:rFonts w:ascii="Aptos" w:hAnsi="Aptos"/>
                <w:b w:val="0"/>
                <w:color w:val="1D252C"/>
                <w:sz w:val="16"/>
              </w:rPr>
              <w:t>All Well Kept internal observations for Task</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6"/>
              </w:rPr>
              <w:t>Corporate task prior.</w:t>
            </w:r>
          </w:p>
        </w:tc>
      </w:tr>
      <w:tr>
        <w:trPr>
          <w:cantSplit w:val="1"/>
        </w:trPr>
        <w:tc>
          <w:tcPr>
            <w:tcW w:type="dxa" w:w="792"/>
            <w:tcMar>
              <w:top w:w="70" w:type="dxa"/>
              <w:start w:w="90" w:type="dxa"/>
              <w:bottom w:w="70" w:type="dxa"/>
              <w:end w:w="90" w:type="dxa"/>
            </w:tcMar>
            <w:vAlign w:val="top"/>
          </w:tcPr>
          <w:p>
            <w:pPr>
              <w:spacing w:after="0" w:before="0"/>
            </w:pPr>
            <w:r/>
            <w:r>
              <w:rPr>
                <w:rFonts w:ascii="Aptos" w:hAnsi="Aptos"/>
                <w:b w:val="0"/>
                <w:color w:val="1D252C"/>
                <w:sz w:val="16"/>
              </w:rPr>
              <w:t>5</w:t>
            </w:r>
          </w:p>
        </w:tc>
        <w:tc>
          <w:tcPr>
            <w:tcW w:type="dxa" w:w="3600"/>
            <w:tcMar>
              <w:top w:w="70" w:type="dxa"/>
              <w:start w:w="90" w:type="dxa"/>
              <w:bottom w:w="70" w:type="dxa"/>
              <w:end w:w="90" w:type="dxa"/>
            </w:tcMar>
            <w:vAlign w:val="top"/>
          </w:tcPr>
          <w:p>
            <w:pPr>
              <w:spacing w:after="0" w:before="0"/>
            </w:pPr>
            <w:r/>
            <w:r>
              <w:rPr>
                <w:rFonts w:ascii="Aptos" w:hAnsi="Aptos"/>
                <w:b w:val="0"/>
                <w:color w:val="1D252C"/>
                <w:sz w:val="16"/>
              </w:rPr>
              <w:t>Structured external reference</w:t>
            </w:r>
          </w:p>
        </w:tc>
        <w:tc>
          <w:tcPr>
            <w:tcW w:type="dxa" w:w="6480"/>
            <w:tcMar>
              <w:top w:w="70" w:type="dxa"/>
              <w:start w:w="90" w:type="dxa"/>
              <w:bottom w:w="70" w:type="dxa"/>
              <w:end w:w="90" w:type="dxa"/>
            </w:tcMar>
            <w:vAlign w:val="top"/>
          </w:tcPr>
          <w:p>
            <w:pPr>
              <w:spacing w:after="0" w:before="0"/>
            </w:pPr>
            <w:r/>
            <w:r>
              <w:rPr>
                <w:rFonts w:ascii="Aptos" w:hAnsi="Aptos"/>
                <w:b w:val="0"/>
                <w:color w:val="1D252C"/>
                <w:sz w:val="16"/>
              </w:rPr>
              <w:t>ISSA, manufacturer, formal dataset, professional/government source, as appropriate to measurement type.</w:t>
            </w:r>
          </w:p>
        </w:tc>
      </w:tr>
      <w:tr>
        <w:trPr>
          <w:cantSplit w:val="1"/>
        </w:trPr>
        <w:tc>
          <w:tcPr>
            <w:tcW w:type="dxa" w:w="792"/>
            <w:shd w:fill="FAFBFC"/>
            <w:tcMar>
              <w:top w:w="70" w:type="dxa"/>
              <w:start w:w="90" w:type="dxa"/>
              <w:bottom w:w="70" w:type="dxa"/>
              <w:end w:w="90" w:type="dxa"/>
            </w:tcMar>
            <w:vAlign w:val="top"/>
          </w:tcPr>
          <w:p>
            <w:pPr>
              <w:spacing w:after="0" w:before="0"/>
            </w:pPr>
            <w:r/>
            <w:r>
              <w:rPr>
                <w:rFonts w:ascii="Aptos" w:hAnsi="Aptos"/>
                <w:b w:val="0"/>
                <w:color w:val="1D252C"/>
                <w:sz w:val="16"/>
              </w:rPr>
              <w:t>6</w:t>
            </w:r>
          </w:p>
        </w:tc>
        <w:tc>
          <w:tcPr>
            <w:tcW w:type="dxa" w:w="3600"/>
            <w:shd w:fill="FAFBFC"/>
            <w:tcMar>
              <w:top w:w="70" w:type="dxa"/>
              <w:start w:w="90" w:type="dxa"/>
              <w:bottom w:w="70" w:type="dxa"/>
              <w:end w:w="90" w:type="dxa"/>
            </w:tcMar>
            <w:vAlign w:val="top"/>
          </w:tcPr>
          <w:p>
            <w:pPr>
              <w:spacing w:after="0" w:before="0"/>
            </w:pPr>
            <w:r/>
            <w:r>
              <w:rPr>
                <w:rFonts w:ascii="Aptos" w:hAnsi="Aptos"/>
                <w:b w:val="0"/>
                <w:color w:val="1D252C"/>
                <w:sz w:val="16"/>
              </w:rPr>
              <w:t>Repeated external observation</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6"/>
              </w:rPr>
              <w:t>Only when task boundaries are sufficiently comparable.</w:t>
            </w:r>
          </w:p>
        </w:tc>
      </w:tr>
      <w:tr>
        <w:trPr>
          <w:cantSplit w:val="1"/>
        </w:trPr>
        <w:tc>
          <w:tcPr>
            <w:tcW w:type="dxa" w:w="792"/>
            <w:tcMar>
              <w:top w:w="70" w:type="dxa"/>
              <w:start w:w="90" w:type="dxa"/>
              <w:bottom w:w="70" w:type="dxa"/>
              <w:end w:w="90" w:type="dxa"/>
            </w:tcMar>
            <w:vAlign w:val="top"/>
          </w:tcPr>
          <w:p>
            <w:pPr>
              <w:spacing w:after="0" w:before="0"/>
            </w:pPr>
            <w:r/>
            <w:r>
              <w:rPr>
                <w:rFonts w:ascii="Aptos" w:hAnsi="Aptos"/>
                <w:b w:val="0"/>
                <w:color w:val="1D252C"/>
                <w:sz w:val="16"/>
              </w:rPr>
              <w:t>7</w:t>
            </w:r>
          </w:p>
        </w:tc>
        <w:tc>
          <w:tcPr>
            <w:tcW w:type="dxa" w:w="3600"/>
            <w:tcMar>
              <w:top w:w="70" w:type="dxa"/>
              <w:start w:w="90" w:type="dxa"/>
              <w:bottom w:w="70" w:type="dxa"/>
              <w:end w:w="90" w:type="dxa"/>
            </w:tcMar>
            <w:vAlign w:val="top"/>
          </w:tcPr>
          <w:p>
            <w:pPr>
              <w:spacing w:after="0" w:before="0"/>
            </w:pPr>
            <w:r/>
            <w:r>
              <w:rPr>
                <w:rFonts w:ascii="Aptos" w:hAnsi="Aptos"/>
                <w:b w:val="0"/>
                <w:color w:val="1D252C"/>
                <w:sz w:val="16"/>
              </w:rPr>
              <w:t>Single external observation / creator benchmark</w:t>
            </w:r>
          </w:p>
        </w:tc>
        <w:tc>
          <w:tcPr>
            <w:tcW w:type="dxa" w:w="6480"/>
            <w:tcMar>
              <w:top w:w="70" w:type="dxa"/>
              <w:start w:w="90" w:type="dxa"/>
              <w:bottom w:w="70" w:type="dxa"/>
              <w:end w:w="90" w:type="dxa"/>
            </w:tcMar>
            <w:vAlign w:val="top"/>
          </w:tcPr>
          <w:p>
            <w:pPr>
              <w:spacing w:after="0" w:before="0"/>
            </w:pPr>
            <w:r/>
            <w:r>
              <w:rPr>
                <w:rFonts w:ascii="Aptos" w:hAnsi="Aptos"/>
                <w:b w:val="0"/>
                <w:color w:val="1D252C"/>
                <w:sz w:val="16"/>
              </w:rPr>
              <w:t>Low-confidence hypothesis.</w:t>
            </w:r>
          </w:p>
        </w:tc>
      </w:tr>
      <w:tr>
        <w:trPr>
          <w:cantSplit w:val="1"/>
        </w:trPr>
        <w:tc>
          <w:tcPr>
            <w:tcW w:type="dxa" w:w="792"/>
            <w:shd w:fill="FAFBFC"/>
            <w:tcMar>
              <w:top w:w="70" w:type="dxa"/>
              <w:start w:w="90" w:type="dxa"/>
              <w:bottom w:w="70" w:type="dxa"/>
              <w:end w:w="90" w:type="dxa"/>
            </w:tcMar>
            <w:vAlign w:val="top"/>
          </w:tcPr>
          <w:p>
            <w:pPr>
              <w:spacing w:after="0" w:before="0"/>
            </w:pPr>
            <w:r/>
            <w:r>
              <w:rPr>
                <w:rFonts w:ascii="Aptos" w:hAnsi="Aptos"/>
                <w:b w:val="0"/>
                <w:color w:val="1D252C"/>
                <w:sz w:val="16"/>
              </w:rPr>
              <w:t>8</w:t>
            </w:r>
          </w:p>
        </w:tc>
        <w:tc>
          <w:tcPr>
            <w:tcW w:type="dxa" w:w="3600"/>
            <w:shd w:fill="FAFBFC"/>
            <w:tcMar>
              <w:top w:w="70" w:type="dxa"/>
              <w:start w:w="90" w:type="dxa"/>
              <w:bottom w:w="70" w:type="dxa"/>
              <w:end w:w="90" w:type="dxa"/>
            </w:tcMar>
            <w:vAlign w:val="top"/>
          </w:tcPr>
          <w:p>
            <w:pPr>
              <w:spacing w:after="0" w:before="0"/>
            </w:pPr>
            <w:r/>
            <w:r>
              <w:rPr>
                <w:rFonts w:ascii="Aptos" w:hAnsi="Aptos"/>
                <w:b w:val="0"/>
                <w:color w:val="1D252C"/>
                <w:sz w:val="16"/>
              </w:rPr>
              <w:t>Manual expert default</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6"/>
              </w:rPr>
              <w:t>Conservative fallback; never zero.</w:t>
            </w:r>
          </w:p>
        </w:tc>
      </w:tr>
    </w:tbl>
    <w:p>
      <w:pPr>
        <w:spacing w:after="20"/>
      </w:pPr>
    </w:p>
    <w:tbl>
      <w:tblPr>
        <w:tblW w:type="auto" w:w="0"/>
        <w:jc w:val="center"/>
        <w:tblLayout w:type="autofit"/>
        <w:tblLook w:firstColumn="1" w:firstRow="1" w:lastColumn="0" w:lastRow="0" w:noHBand="0" w:noVBand="1" w:val="04A0"/>
      </w:tblPr>
      <w:tblGrid>
        <w:gridCol w:w="10166"/>
      </w:tblGrid>
      <w:tr>
        <w:trPr>
          <w:cantSplit w:val="1"/>
        </w:trPr>
        <w:tc>
          <w:tcPr>
            <w:tcW w:type="dxa" w:w="10166"/>
            <w:shd w:fill="EAF1F7"/>
            <w:tcMar>
              <w:top w:w="100" w:type="dxa"/>
              <w:start w:w="140" w:type="dxa"/>
              <w:bottom w:w="100" w:type="dxa"/>
              <w:end w:w="140" w:type="dxa"/>
            </w:tcMar>
          </w:tcPr>
          <w:p>
            <w:pPr>
              <w:spacing w:after="40"/>
            </w:pPr>
            <w:r>
              <w:rPr>
                <w:rFonts w:ascii="Aptos Display" w:hAnsi="Aptos Display"/>
                <w:b/>
                <w:color w:val="17324D"/>
                <w:sz w:val="20"/>
              </w:rPr>
              <w:t>Never use zero for unknown</w:t>
            </w:r>
          </w:p>
          <w:p>
            <w:pPr>
              <w:spacing w:after="0" w:line="247" w:lineRule="auto"/>
            </w:pPr>
            <w:r>
              <w:rPr>
                <w:rFonts w:ascii="Aptos" w:hAnsi="Aptos"/>
                <w:color w:val="1D252C"/>
                <w:sz w:val="18"/>
              </w:rPr>
              <w:t>ServiceTitan explicitly warns that blank or zero default durations can cause severe overbooking. For Well Kept, unknown duration must resolve to a conservative task-family or expert default plus a low-confidence flag and additional reserve, not zero.</w:t>
            </w:r>
          </w:p>
        </w:tc>
      </w:tr>
    </w:tbl>
    <w:p>
      <w:pPr>
        <w:spacing w:after="20"/>
      </w:pPr>
    </w:p>
    <w:p>
      <w:pPr>
        <w:pStyle w:val="Heading2"/>
        <w:spacing w:before="140" w:after="80"/>
        <w:keepNext w:val="1"/>
      </w:pPr>
      <w:r>
        <w:t>4.2 Estimate outputs</w:t>
      </w:r>
    </w:p>
    <w:p>
      <w:pPr>
        <w:pStyle w:val="ListBullet"/>
        <w:spacing w:after="40" w:line="245" w:lineRule="auto"/>
        <w:ind w:left="259" w:hanging="173"/>
      </w:pPr>
      <w:r>
        <w:rPr>
          <w:rFonts w:ascii="Aptos" w:hAnsi="Aptos"/>
          <w:color w:val="1D252C"/>
          <w:sz w:val="18"/>
        </w:rPr>
        <w:t>expected_active_minutes</w:t>
      </w:r>
    </w:p>
    <w:p>
      <w:pPr>
        <w:pStyle w:val="ListBullet"/>
        <w:spacing w:after="40" w:line="245" w:lineRule="auto"/>
        <w:ind w:left="259" w:hanging="173"/>
      </w:pPr>
      <w:r>
        <w:rPr>
          <w:rFonts w:ascii="Aptos" w:hAnsi="Aptos"/>
          <w:color w:val="1D252C"/>
          <w:sz w:val="18"/>
        </w:rPr>
        <w:t>expected_setup_and_movement_minutes</w:t>
      </w:r>
    </w:p>
    <w:p>
      <w:pPr>
        <w:pStyle w:val="ListBullet"/>
        <w:spacing w:after="40" w:line="245" w:lineRule="auto"/>
        <w:ind w:left="259" w:hanging="173"/>
      </w:pPr>
      <w:r>
        <w:rPr>
          <w:rFonts w:ascii="Aptos" w:hAnsi="Aptos"/>
          <w:color w:val="1D252C"/>
          <w:sz w:val="18"/>
        </w:rPr>
        <w:t>expected_parallel_dwell_minutes</w:t>
      </w:r>
    </w:p>
    <w:p>
      <w:pPr>
        <w:pStyle w:val="ListBullet"/>
        <w:spacing w:after="40" w:line="245" w:lineRule="auto"/>
        <w:ind w:left="259" w:hanging="173"/>
      </w:pPr>
      <w:r>
        <w:rPr>
          <w:rFonts w:ascii="Aptos" w:hAnsi="Aptos"/>
          <w:color w:val="1D252C"/>
          <w:sz w:val="18"/>
        </w:rPr>
        <w:t>expected_nonparallel_wait_minutes</w:t>
      </w:r>
    </w:p>
    <w:p>
      <w:pPr>
        <w:pStyle w:val="ListBullet"/>
        <w:spacing w:after="40" w:line="245" w:lineRule="auto"/>
        <w:ind w:left="259" w:hanging="173"/>
      </w:pPr>
      <w:r>
        <w:rPr>
          <w:rFonts w:ascii="Aptos" w:hAnsi="Aptos"/>
          <w:color w:val="1D252C"/>
          <w:sz w:val="18"/>
        </w:rPr>
        <w:t>expected_remote_coordination_minutes</w:t>
      </w:r>
    </w:p>
    <w:p>
      <w:pPr>
        <w:pStyle w:val="ListBullet"/>
        <w:spacing w:after="40" w:line="245" w:lineRule="auto"/>
        <w:ind w:left="259" w:hanging="173"/>
      </w:pPr>
      <w:r>
        <w:rPr>
          <w:rFonts w:ascii="Aptos" w:hAnsi="Aptos"/>
          <w:color w:val="1D252C"/>
          <w:sz w:val="18"/>
        </w:rPr>
        <w:t>expected_close_minutes</w:t>
      </w:r>
    </w:p>
    <w:p>
      <w:pPr>
        <w:pStyle w:val="ListBullet"/>
        <w:spacing w:after="40" w:line="245" w:lineRule="auto"/>
        <w:ind w:left="259" w:hanging="173"/>
      </w:pPr>
      <w:r>
        <w:rPr>
          <w:rFonts w:ascii="Aptos" w:hAnsi="Aptos"/>
          <w:color w:val="1D252C"/>
          <w:sz w:val="18"/>
        </w:rPr>
        <w:t>P50 total workload</w:t>
      </w:r>
    </w:p>
    <w:p>
      <w:pPr>
        <w:pStyle w:val="ListBullet"/>
        <w:spacing w:after="40" w:line="245" w:lineRule="auto"/>
        <w:ind w:left="259" w:hanging="173"/>
      </w:pPr>
      <w:r>
        <w:rPr>
          <w:rFonts w:ascii="Aptos" w:hAnsi="Aptos"/>
          <w:color w:val="1D252C"/>
          <w:sz w:val="18"/>
        </w:rPr>
        <w:t>P80 protected workload</w:t>
      </w:r>
    </w:p>
    <w:p>
      <w:pPr>
        <w:pStyle w:val="ListBullet"/>
        <w:spacing w:after="40" w:line="245" w:lineRule="auto"/>
        <w:ind w:left="259" w:hanging="173"/>
      </w:pPr>
      <w:r>
        <w:rPr>
          <w:rFonts w:ascii="Aptos" w:hAnsi="Aptos"/>
          <w:color w:val="1D252C"/>
          <w:sz w:val="18"/>
        </w:rPr>
        <w:t>exception / long-tail signal where enough data supports it</w:t>
      </w:r>
    </w:p>
    <w:p>
      <w:pPr>
        <w:pStyle w:val="ListBullet"/>
        <w:spacing w:after="40" w:line="245" w:lineRule="auto"/>
        <w:ind w:left="259" w:hanging="173"/>
      </w:pPr>
      <w:r>
        <w:rPr>
          <w:rFonts w:ascii="Aptos" w:hAnsi="Aptos"/>
          <w:color w:val="1D252C"/>
          <w:sz w:val="18"/>
        </w:rPr>
        <w:t>confidence score / grade</w:t>
      </w:r>
    </w:p>
    <w:p>
      <w:pPr>
        <w:pStyle w:val="ListBullet"/>
        <w:spacing w:after="40" w:line="245" w:lineRule="auto"/>
        <w:ind w:left="259" w:hanging="173"/>
      </w:pPr>
      <w:r>
        <w:rPr>
          <w:rFonts w:ascii="Aptos" w:hAnsi="Aptos"/>
          <w:color w:val="1D252C"/>
          <w:sz w:val="18"/>
        </w:rPr>
        <w:t>sample count and recency</w:t>
      </w:r>
    </w:p>
    <w:p>
      <w:pPr>
        <w:pStyle w:val="ListBullet"/>
        <w:spacing w:after="40" w:line="245" w:lineRule="auto"/>
        <w:ind w:left="259" w:hanging="173"/>
      </w:pPr>
      <w:r>
        <w:rPr>
          <w:rFonts w:ascii="Aptos" w:hAnsi="Aptos"/>
          <w:color w:val="1D252C"/>
          <w:sz w:val="18"/>
        </w:rPr>
        <w:t>top variance drivers</w:t>
      </w:r>
    </w:p>
    <w:p>
      <w:pPr>
        <w:pStyle w:val="ListBullet"/>
        <w:spacing w:after="40" w:line="245" w:lineRule="auto"/>
        <w:ind w:left="259" w:hanging="173"/>
      </w:pPr>
      <w:r>
        <w:rPr>
          <w:rFonts w:ascii="Aptos" w:hAnsi="Aptos"/>
          <w:color w:val="1D252C"/>
          <w:sz w:val="18"/>
        </w:rPr>
        <w:t>estimate source level and evidence IDs</w:t>
      </w:r>
    </w:p>
    <w:p>
      <w:pPr>
        <w:pStyle w:val="Heading2"/>
        <w:spacing w:before="140" w:after="80"/>
        <w:keepNext w:val="1"/>
      </w:pPr>
      <w:r>
        <w:t>4.3 Do not assume quantity scales linearly</w:t>
      </w:r>
    </w:p>
    <w:p>
      <w:pPr>
        <w:spacing w:after="100" w:line="250" w:lineRule="auto"/>
      </w:pPr>
      <w:r>
        <w:rPr>
          <w:rFonts w:ascii="Aptos" w:hAnsi="Aptos"/>
          <w:i w:val="0"/>
        </w:rPr>
        <w:t>Many tasks have fixed setup plus variable unit time, and some have threshold effects. The estimator should support fixed + unit, piecewise, categorical and empirical models. Laundry, for example, includes fixed setup, per-load machine dwell, per-item handling variation and movement. A vendor appointment includes fixed access/briefing, uncertain waiting and follow-up rather than a simple per-unit multiplier.</w:t>
      </w:r>
    </w:p>
    <w:tbl>
      <w:tblPr>
        <w:tblStyle w:val="TableGrid"/>
        <w:tblW w:type="auto" w:w="0"/>
        <w:tblLook w:firstColumn="1" w:firstRow="1" w:lastColumn="0" w:lastRow="0" w:noHBand="0" w:noVBand="1" w:val="04A0"/>
      </w:tblPr>
      <w:tblGrid>
        <w:gridCol w:w="10166"/>
      </w:tblGrid>
      <w:tr>
        <w:trPr>
          <w:cantSplit w:val="1"/>
        </w:trPr>
        <w:tc>
          <w:tcPr>
            <w:tcW w:type="dxa" w:w="10166"/>
            <w:shd w:fill="F5F7F8"/>
            <w:tcMar>
              <w:top w:w="90" w:type="dxa"/>
              <w:start w:w="110" w:type="dxa"/>
              <w:bottom w:w="90" w:type="dxa"/>
              <w:end w:w="110" w:type="dxa"/>
            </w:tcMar>
          </w:tcPr>
          <w:p>
            <w:pPr>
              <w:spacing w:after="0"/>
            </w:pPr>
            <w:r>
              <w:rPr>
                <w:rFonts w:ascii="Consolas" w:hAnsi="Consolas"/>
                <w:color w:val="1D252C"/>
                <w:sz w:val="16"/>
              </w:rPr>
              <w:t>estimate =</w:t>
              <w:br/>
              <w:t xml:space="preserve">  fixed_setup</w:t>
              <w:br/>
              <w:t>+ quantity_model(quantity, configuration)</w:t>
              <w:br/>
              <w:t>+ movement_model(layout_features)</w:t>
              <w:br/>
              <w:t>+ coordination_model(decision_state, vendor_state)</w:t>
              <w:br/>
              <w:t>+ nonparallel_wait</w:t>
              <w:br/>
              <w:t>+ documentation_close</w:t>
              <w:br/>
              <w:t>+ uncertainty_reserve(confidence, volatility)</w:t>
              <w:br/>
              <w:br/>
              <w:t>parallel dwell is represented separately so the sequencing engine can fill it</w:t>
              <w:br/>
              <w:t>without double-counting labor capacity.</w:t>
              <w:br/>
            </w:r>
          </w:p>
        </w:tc>
      </w:tr>
    </w:tbl>
    <w:p>
      <w:pPr>
        <w:pStyle w:val="Heading2"/>
        <w:spacing w:before="140" w:after="80"/>
        <w:keepNext w:val="1"/>
      </w:pPr>
      <w:r>
        <w:t>4.4 Confidence model</w:t>
      </w:r>
    </w:p>
    <w:p>
      <w:pPr>
        <w:spacing w:after="100" w:line="250" w:lineRule="auto"/>
      </w:pPr>
      <w:r>
        <w:rPr>
          <w:rFonts w:ascii="Aptos" w:hAnsi="Aptos"/>
          <w:i w:val="0"/>
        </w:rPr>
        <w:t>Confidence should be calculated from evidence quality rather than displayed as a vague AI score. At minimum it should consider source tier, task-boundary match, sample count, variance, recency, household match and whether the current condition is normal or exceptional. Make thresholds configurable and governance-owned.</w:t>
      </w:r>
    </w:p>
    <w:p>
      <w:pPr>
        <w:pStyle w:val="Heading2"/>
        <w:spacing w:before="140" w:after="80"/>
        <w:keepNext w:val="1"/>
      </w:pPr>
      <w:r>
        <w:t>4.5 Outlier and exception handling</w:t>
      </w:r>
    </w:p>
    <w:p>
      <w:pPr>
        <w:spacing w:after="100" w:line="250" w:lineRule="auto"/>
      </w:pPr>
      <w:r>
        <w:rPr>
          <w:rFonts w:ascii="Aptos" w:hAnsi="Aptos"/>
          <w:i w:val="0"/>
        </w:rPr>
        <w:t>A 51-minute pantry occurrence should not automatically teach the system that pantry rotation takes 51 minutes. The HOM must be able to record why it ran long or short. Keep an explicit `eligible_for_baseline_learning` field that can be set by rules or reviewer.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088"/>
            <w:shd w:fill="17324D"/>
            <w:tcMar>
              <w:top w:w="70" w:type="dxa"/>
              <w:start w:w="90" w:type="dxa"/>
              <w:bottom w:w="70" w:type="dxa"/>
              <w:end w:w="90" w:type="dxa"/>
            </w:tcMar>
            <w:vAlign w:val="center"/>
          </w:tcPr>
          <w:p>
            <w:pPr>
              <w:spacing w:after="0" w:before="0"/>
            </w:pPr>
            <w:r/>
            <w:r>
              <w:rPr>
                <w:rFonts w:ascii="Aptos" w:hAnsi="Aptos"/>
                <w:b/>
                <w:color w:val="FFFFFF"/>
                <w:sz w:val="16"/>
              </w:rPr>
              <w:t>Variance code</w:t>
            </w:r>
          </w:p>
        </w:tc>
        <w:tc>
          <w:tcPr>
            <w:tcW w:type="dxa" w:w="4032"/>
            <w:shd w:fill="17324D"/>
            <w:tcMar>
              <w:top w:w="70" w:type="dxa"/>
              <w:start w:w="90" w:type="dxa"/>
              <w:bottom w:w="70" w:type="dxa"/>
              <w:end w:w="90" w:type="dxa"/>
            </w:tcMar>
            <w:vAlign w:val="center"/>
          </w:tcPr>
          <w:p>
            <w:pPr>
              <w:spacing w:after="0" w:before="0"/>
            </w:pPr>
            <w:r/>
            <w:r>
              <w:rPr>
                <w:rFonts w:ascii="Aptos" w:hAnsi="Aptos"/>
                <w:b/>
                <w:color w:val="FFFFFF"/>
                <w:sz w:val="16"/>
              </w:rPr>
              <w:t>Example</w:t>
            </w:r>
          </w:p>
        </w:tc>
        <w:tc>
          <w:tcPr>
            <w:tcW w:type="dxa" w:w="5472"/>
            <w:shd w:fill="17324D"/>
            <w:tcMar>
              <w:top w:w="70" w:type="dxa"/>
              <w:start w:w="90" w:type="dxa"/>
              <w:bottom w:w="70" w:type="dxa"/>
              <w:end w:w="90" w:type="dxa"/>
            </w:tcMar>
            <w:vAlign w:val="center"/>
          </w:tcPr>
          <w:p>
            <w:pPr>
              <w:spacing w:after="0" w:before="0"/>
            </w:pPr>
            <w:r/>
            <w:r>
              <w:rPr>
                <w:rFonts w:ascii="Aptos" w:hAnsi="Aptos"/>
                <w:b/>
                <w:color w:val="FFFFFF"/>
                <w:sz w:val="16"/>
              </w:rPr>
              <w:t>Learning treatment</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unusual_volume</w:t>
            </w:r>
          </w:p>
        </w:tc>
        <w:tc>
          <w:tcPr>
            <w:tcW w:type="dxa" w:w="4032"/>
            <w:tcMar>
              <w:top w:w="70" w:type="dxa"/>
              <w:start w:w="90" w:type="dxa"/>
              <w:bottom w:w="70" w:type="dxa"/>
              <w:end w:w="90" w:type="dxa"/>
            </w:tcMar>
            <w:vAlign w:val="top"/>
          </w:tcPr>
          <w:p>
            <w:pPr>
              <w:spacing w:after="0" w:before="0"/>
            </w:pPr>
            <w:r/>
            <w:r>
              <w:rPr>
                <w:rFonts w:ascii="Aptos" w:hAnsi="Aptos"/>
                <w:b w:val="0"/>
                <w:color w:val="1D252C"/>
                <w:sz w:val="16"/>
              </w:rPr>
              <w:t>Large grocery delivery before visit</w:t>
            </w:r>
          </w:p>
        </w:tc>
        <w:tc>
          <w:tcPr>
            <w:tcW w:type="dxa" w:w="5472"/>
            <w:tcMar>
              <w:top w:w="70" w:type="dxa"/>
              <w:start w:w="90" w:type="dxa"/>
              <w:bottom w:w="70" w:type="dxa"/>
              <w:end w:w="90" w:type="dxa"/>
            </w:tcMar>
            <w:vAlign w:val="top"/>
          </w:tcPr>
          <w:p>
            <w:pPr>
              <w:spacing w:after="0" w:before="0"/>
            </w:pPr>
            <w:r/>
            <w:r>
              <w:rPr>
                <w:rFonts w:ascii="Aptos" w:hAnsi="Aptos"/>
                <w:b w:val="0"/>
                <w:color w:val="1D252C"/>
                <w:sz w:val="16"/>
              </w:rPr>
              <w:t>Keep occurrence; do not treat as normal quantity unless quantity model explains it.</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storage_friction</w:t>
            </w:r>
          </w:p>
        </w:tc>
        <w:tc>
          <w:tcPr>
            <w:tcW w:type="dxa" w:w="4032"/>
            <w:shd w:fill="FAFBFC"/>
            <w:tcMar>
              <w:top w:w="70" w:type="dxa"/>
              <w:start w:w="90" w:type="dxa"/>
              <w:bottom w:w="70" w:type="dxa"/>
              <w:end w:w="90" w:type="dxa"/>
            </w:tcMar>
            <w:vAlign w:val="top"/>
          </w:tcPr>
          <w:p>
            <w:pPr>
              <w:spacing w:after="0" w:before="0"/>
            </w:pPr>
            <w:r/>
            <w:r>
              <w:rPr>
                <w:rFonts w:ascii="Aptos" w:hAnsi="Aptos"/>
                <w:b w:val="0"/>
                <w:color w:val="1D252C"/>
                <w:sz w:val="16"/>
              </w:rPr>
              <w:t>No clear home / dispersed storage</w:t>
            </w:r>
          </w:p>
        </w:tc>
        <w:tc>
          <w:tcPr>
            <w:tcW w:type="dxa" w:w="5472"/>
            <w:shd w:fill="FAFBFC"/>
            <w:tcMar>
              <w:top w:w="70" w:type="dxa"/>
              <w:start w:w="90" w:type="dxa"/>
              <w:bottom w:w="70" w:type="dxa"/>
              <w:end w:w="90" w:type="dxa"/>
            </w:tcMar>
            <w:vAlign w:val="top"/>
          </w:tcPr>
          <w:p>
            <w:pPr>
              <w:spacing w:after="0" w:before="0"/>
            </w:pPr>
            <w:r/>
            <w:r>
              <w:rPr>
                <w:rFonts w:ascii="Aptos" w:hAnsi="Aptos"/>
                <w:b w:val="0"/>
                <w:color w:val="1D252C"/>
                <w:sz w:val="16"/>
              </w:rPr>
              <w:t>May become a persistent household modifier if repeated.</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member_interruption</w:t>
            </w:r>
          </w:p>
        </w:tc>
        <w:tc>
          <w:tcPr>
            <w:tcW w:type="dxa" w:w="4032"/>
            <w:tcMar>
              <w:top w:w="70" w:type="dxa"/>
              <w:start w:w="90" w:type="dxa"/>
              <w:bottom w:w="70" w:type="dxa"/>
              <w:end w:w="90" w:type="dxa"/>
            </w:tcMar>
            <w:vAlign w:val="top"/>
          </w:tcPr>
          <w:p>
            <w:pPr>
              <w:spacing w:after="0" w:before="0"/>
            </w:pPr>
            <w:r/>
            <w:r>
              <w:rPr>
                <w:rFonts w:ascii="Aptos" w:hAnsi="Aptos"/>
                <w:b w:val="0"/>
                <w:color w:val="1D252C"/>
                <w:sz w:val="16"/>
              </w:rPr>
              <w:t>Unexpected conversation/decision need</w:t>
            </w:r>
          </w:p>
        </w:tc>
        <w:tc>
          <w:tcPr>
            <w:tcW w:type="dxa" w:w="5472"/>
            <w:tcMar>
              <w:top w:w="70" w:type="dxa"/>
              <w:start w:w="90" w:type="dxa"/>
              <w:bottom w:w="70" w:type="dxa"/>
              <w:end w:w="90" w:type="dxa"/>
            </w:tcMar>
            <w:vAlign w:val="top"/>
          </w:tcPr>
          <w:p>
            <w:pPr>
              <w:spacing w:after="0" w:before="0"/>
            </w:pPr>
            <w:r/>
            <w:r>
              <w:rPr>
                <w:rFonts w:ascii="Aptos" w:hAnsi="Aptos"/>
                <w:b w:val="0"/>
                <w:color w:val="1D252C"/>
                <w:sz w:val="16"/>
              </w:rPr>
              <w:t>Separate waiting/coordination; do not inflate active task baseline.</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vendor_delay</w:t>
            </w:r>
          </w:p>
        </w:tc>
        <w:tc>
          <w:tcPr>
            <w:tcW w:type="dxa" w:w="4032"/>
            <w:shd w:fill="FAFBFC"/>
            <w:tcMar>
              <w:top w:w="70" w:type="dxa"/>
              <w:start w:w="90" w:type="dxa"/>
              <w:bottom w:w="70" w:type="dxa"/>
              <w:end w:w="90" w:type="dxa"/>
            </w:tcMar>
            <w:vAlign w:val="top"/>
          </w:tcPr>
          <w:p>
            <w:pPr>
              <w:spacing w:after="0" w:before="0"/>
            </w:pPr>
            <w:r/>
            <w:r>
              <w:rPr>
                <w:rFonts w:ascii="Aptos" w:hAnsi="Aptos"/>
                <w:b w:val="0"/>
                <w:color w:val="1D252C"/>
                <w:sz w:val="16"/>
              </w:rPr>
              <w:t>Technician late</w:t>
            </w:r>
          </w:p>
        </w:tc>
        <w:tc>
          <w:tcPr>
            <w:tcW w:type="dxa" w:w="5472"/>
            <w:shd w:fill="FAFBFC"/>
            <w:tcMar>
              <w:top w:w="70" w:type="dxa"/>
              <w:start w:w="90" w:type="dxa"/>
              <w:bottom w:w="70" w:type="dxa"/>
              <w:end w:w="90" w:type="dxa"/>
            </w:tcMar>
            <w:vAlign w:val="top"/>
          </w:tcPr>
          <w:p>
            <w:pPr>
              <w:spacing w:after="0" w:before="0"/>
            </w:pPr>
            <w:r/>
            <w:r>
              <w:rPr>
                <w:rFonts w:ascii="Aptos" w:hAnsi="Aptos"/>
                <w:b w:val="0"/>
                <w:color w:val="1D252C"/>
                <w:sz w:val="16"/>
              </w:rPr>
              <w:t>Feed vendor/presence model, not task active duration.</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missing_supply</w:t>
            </w:r>
          </w:p>
        </w:tc>
        <w:tc>
          <w:tcPr>
            <w:tcW w:type="dxa" w:w="4032"/>
            <w:tcMar>
              <w:top w:w="70" w:type="dxa"/>
              <w:start w:w="90" w:type="dxa"/>
              <w:bottom w:w="70" w:type="dxa"/>
              <w:end w:w="90" w:type="dxa"/>
            </w:tcMar>
            <w:vAlign w:val="top"/>
          </w:tcPr>
          <w:p>
            <w:pPr>
              <w:spacing w:after="0" w:before="0"/>
            </w:pPr>
            <w:r/>
            <w:r>
              <w:rPr>
                <w:rFonts w:ascii="Aptos" w:hAnsi="Aptos"/>
                <w:b w:val="0"/>
                <w:color w:val="1D252C"/>
                <w:sz w:val="16"/>
              </w:rPr>
              <w:t>Needed product unavailable</w:t>
            </w:r>
          </w:p>
        </w:tc>
        <w:tc>
          <w:tcPr>
            <w:tcW w:type="dxa" w:w="5472"/>
            <w:tcMar>
              <w:top w:w="70" w:type="dxa"/>
              <w:start w:w="90" w:type="dxa"/>
              <w:bottom w:w="70" w:type="dxa"/>
              <w:end w:w="90" w:type="dxa"/>
            </w:tcMar>
            <w:vAlign w:val="top"/>
          </w:tcPr>
          <w:p>
            <w:pPr>
              <w:spacing w:after="0" w:before="0"/>
            </w:pPr>
            <w:r/>
            <w:r>
              <w:rPr>
                <w:rFonts w:ascii="Aptos" w:hAnsi="Aptos"/>
                <w:b w:val="0"/>
                <w:color w:val="1D252C"/>
                <w:sz w:val="16"/>
              </w:rPr>
              <w:t>Create inventory/open-loop signal; exclude wasted delay from task method baseline.</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first_time</w:t>
            </w:r>
          </w:p>
        </w:tc>
        <w:tc>
          <w:tcPr>
            <w:tcW w:type="dxa" w:w="4032"/>
            <w:shd w:fill="FAFBFC"/>
            <w:tcMar>
              <w:top w:w="70" w:type="dxa"/>
              <w:start w:w="90" w:type="dxa"/>
              <w:bottom w:w="70" w:type="dxa"/>
              <w:end w:w="90" w:type="dxa"/>
            </w:tcMar>
            <w:vAlign w:val="top"/>
          </w:tcPr>
          <w:p>
            <w:pPr>
              <w:spacing w:after="0" w:before="0"/>
            </w:pPr>
            <w:r/>
            <w:r>
              <w:rPr>
                <w:rFonts w:ascii="Aptos" w:hAnsi="Aptos"/>
                <w:b w:val="0"/>
                <w:color w:val="1D252C"/>
                <w:sz w:val="16"/>
              </w:rPr>
              <w:t>New household or new system</w:t>
            </w:r>
          </w:p>
        </w:tc>
        <w:tc>
          <w:tcPr>
            <w:tcW w:type="dxa" w:w="5472"/>
            <w:shd w:fill="FAFBFC"/>
            <w:tcMar>
              <w:top w:w="70" w:type="dxa"/>
              <w:start w:w="90" w:type="dxa"/>
              <w:bottom w:w="70" w:type="dxa"/>
              <w:end w:w="90" w:type="dxa"/>
            </w:tcMar>
            <w:vAlign w:val="top"/>
          </w:tcPr>
          <w:p>
            <w:pPr>
              <w:spacing w:after="0" w:before="0"/>
            </w:pPr>
            <w:r/>
            <w:r>
              <w:rPr>
                <w:rFonts w:ascii="Aptos" w:hAnsi="Aptos"/>
                <w:b w:val="0"/>
                <w:color w:val="1D252C"/>
                <w:sz w:val="16"/>
              </w:rPr>
              <w:t>Keep but mark separately; do not overweight steady-state model.</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method_change</w:t>
            </w:r>
          </w:p>
        </w:tc>
        <w:tc>
          <w:tcPr>
            <w:tcW w:type="dxa" w:w="4032"/>
            <w:tcMar>
              <w:top w:w="70" w:type="dxa"/>
              <w:start w:w="90" w:type="dxa"/>
              <w:bottom w:w="70" w:type="dxa"/>
              <w:end w:w="90" w:type="dxa"/>
            </w:tcMar>
            <w:vAlign w:val="top"/>
          </w:tcPr>
          <w:p>
            <w:pPr>
              <w:spacing w:after="0" w:before="0"/>
            </w:pPr>
            <w:r/>
            <w:r>
              <w:rPr>
                <w:rFonts w:ascii="Aptos" w:hAnsi="Aptos"/>
                <w:b w:val="0"/>
                <w:color w:val="1D252C"/>
                <w:sz w:val="16"/>
              </w:rPr>
              <w:t>New tool/process</w:t>
            </w:r>
          </w:p>
        </w:tc>
        <w:tc>
          <w:tcPr>
            <w:tcW w:type="dxa" w:w="5472"/>
            <w:tcMar>
              <w:top w:w="70" w:type="dxa"/>
              <w:start w:w="90" w:type="dxa"/>
              <w:bottom w:w="70" w:type="dxa"/>
              <w:end w:w="90" w:type="dxa"/>
            </w:tcMar>
            <w:vAlign w:val="top"/>
          </w:tcPr>
          <w:p>
            <w:pPr>
              <w:spacing w:after="0" w:before="0"/>
            </w:pPr>
            <w:r/>
            <w:r>
              <w:rPr>
                <w:rFonts w:ascii="Aptos" w:hAnsi="Aptos"/>
                <w:b w:val="0"/>
                <w:color w:val="1D252C"/>
                <w:sz w:val="16"/>
              </w:rPr>
              <w:t>Start a new method/version cohort rather than mixing blindly.</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rework</w:t>
            </w:r>
          </w:p>
        </w:tc>
        <w:tc>
          <w:tcPr>
            <w:tcW w:type="dxa" w:w="4032"/>
            <w:shd w:fill="FAFBFC"/>
            <w:tcMar>
              <w:top w:w="70" w:type="dxa"/>
              <w:start w:w="90" w:type="dxa"/>
              <w:bottom w:w="70" w:type="dxa"/>
              <w:end w:w="90" w:type="dxa"/>
            </w:tcMar>
            <w:vAlign w:val="top"/>
          </w:tcPr>
          <w:p>
            <w:pPr>
              <w:spacing w:after="0" w:before="0"/>
            </w:pPr>
            <w:r/>
            <w:r>
              <w:rPr>
                <w:rFonts w:ascii="Aptos" w:hAnsi="Aptos"/>
                <w:b w:val="0"/>
                <w:color w:val="1D252C"/>
                <w:sz w:val="16"/>
              </w:rPr>
              <w:t>Task failed completion standard</w:t>
            </w:r>
          </w:p>
        </w:tc>
        <w:tc>
          <w:tcPr>
            <w:tcW w:type="dxa" w:w="5472"/>
            <w:shd w:fill="FAFBFC"/>
            <w:tcMar>
              <w:top w:w="70" w:type="dxa"/>
              <w:start w:w="90" w:type="dxa"/>
              <w:bottom w:w="70" w:type="dxa"/>
              <w:end w:w="90" w:type="dxa"/>
            </w:tcMar>
            <w:vAlign w:val="top"/>
          </w:tcPr>
          <w:p>
            <w:pPr>
              <w:spacing w:after="0" w:before="0"/>
            </w:pPr>
            <w:r/>
            <w:r>
              <w:rPr>
                <w:rFonts w:ascii="Aptos" w:hAnsi="Aptos"/>
                <w:b w:val="0"/>
                <w:color w:val="1D252C"/>
                <w:sz w:val="16"/>
              </w:rPr>
              <w:t>Do not reward short duration; retain quality outcome.</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estimate_wrong</w:t>
            </w:r>
          </w:p>
        </w:tc>
        <w:tc>
          <w:tcPr>
            <w:tcW w:type="dxa" w:w="4032"/>
            <w:tcMar>
              <w:top w:w="70" w:type="dxa"/>
              <w:start w:w="90" w:type="dxa"/>
              <w:bottom w:w="70" w:type="dxa"/>
              <w:end w:w="90" w:type="dxa"/>
            </w:tcMar>
            <w:vAlign w:val="top"/>
          </w:tcPr>
          <w:p>
            <w:pPr>
              <w:spacing w:after="0" w:before="0"/>
            </w:pPr>
            <w:r/>
            <w:r>
              <w:rPr>
                <w:rFonts w:ascii="Aptos" w:hAnsi="Aptos"/>
                <w:b w:val="0"/>
                <w:color w:val="1D252C"/>
                <w:sz w:val="16"/>
              </w:rPr>
              <w:t>No special condition; prior simply wrong</w:t>
            </w:r>
          </w:p>
        </w:tc>
        <w:tc>
          <w:tcPr>
            <w:tcW w:type="dxa" w:w="5472"/>
            <w:tcMar>
              <w:top w:w="70" w:type="dxa"/>
              <w:start w:w="90" w:type="dxa"/>
              <w:bottom w:w="70" w:type="dxa"/>
              <w:end w:w="90" w:type="dxa"/>
            </w:tcMar>
            <w:vAlign w:val="top"/>
          </w:tcPr>
          <w:p>
            <w:pPr>
              <w:spacing w:after="0" w:before="0"/>
            </w:pPr>
            <w:r/>
            <w:r>
              <w:rPr>
                <w:rFonts w:ascii="Aptos" w:hAnsi="Aptos"/>
                <w:b w:val="0"/>
                <w:color w:val="1D252C"/>
                <w:sz w:val="16"/>
              </w:rPr>
              <w:t>Clean learning event.</w:t>
            </w:r>
          </w:p>
        </w:tc>
      </w:tr>
    </w:tbl>
    <w:p>
      <w:pPr>
        <w:spacing w:after="20"/>
      </w:pPr>
    </w:p>
    <w:p>
      <w:pPr>
        <w:pStyle w:val="Heading2"/>
        <w:spacing w:before="140" w:after="80"/>
        <w:keepNext w:val="1"/>
      </w:pPr>
      <w:r>
        <w:t>4.6 Household learning over HOM speed learning</w:t>
      </w:r>
    </w:p>
    <w:p>
      <w:pPr>
        <w:spacing w:after="100" w:line="250" w:lineRule="auto"/>
      </w:pPr>
      <w:r>
        <w:rPr>
          <w:rFonts w:ascii="Aptos" w:hAnsi="Aptos"/>
          <w:i w:val="0"/>
        </w:rPr>
        <w:t>Oracle Field Service demonstrates a useful pattern: duration can be learned statistically from completed work, with fallbacks when history is insufficient and more recent experience weighted more heavily. Well Kept should borrow the hierarchy and recency concept, but not copy a worker-speed leaderboard. Household configuration and work context should be the primary explanatory variables. HOM-specific adjustments, if ever used, should be scheduling calibration only after normalizing for task mix and household conditions.</w:t>
      </w:r>
    </w:p>
    <w:p>
      <w:pPr>
        <w:pStyle w:val="Heading1"/>
        <w:spacing w:before="200" w:after="80"/>
        <w:keepNext w:val="1"/>
      </w:pPr>
      <w:r>
        <w:t>5. Occurrence generation and household workload forecasting</w:t>
      </w:r>
    </w:p>
    <w:p>
      <w:pPr>
        <w:pStyle w:val="Heading2"/>
        <w:spacing w:before="140" w:after="80"/>
        <w:keepNext w:val="1"/>
      </w:pPr>
      <w:r>
        <w:t>5.1 Generate work before scheduling it</w:t>
      </w:r>
    </w:p>
    <w:p>
      <w:pPr>
        <w:spacing w:after="100" w:line="250" w:lineRule="auto"/>
      </w:pPr>
      <w:r>
        <w:rPr>
          <w:rFonts w:ascii="Aptos" w:hAnsi="Aptos"/>
          <w:i w:val="0"/>
        </w:rPr>
        <w:t>The Temporal Layer, trigger library, open ledger, accepted offers, recurring Playbook cadences and external clocks should all feed one occurrence generator. The output is a future set of Work Requirements, not notifications.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232"/>
            <w:shd w:fill="17324D"/>
            <w:tcMar>
              <w:top w:w="70" w:type="dxa"/>
              <w:start w:w="90" w:type="dxa"/>
              <w:bottom w:w="70" w:type="dxa"/>
              <w:end w:w="90" w:type="dxa"/>
            </w:tcMar>
            <w:vAlign w:val="center"/>
          </w:tcPr>
          <w:p>
            <w:pPr>
              <w:spacing w:after="0" w:before="0"/>
            </w:pPr>
            <w:r/>
            <w:r>
              <w:rPr>
                <w:rFonts w:ascii="Aptos" w:hAnsi="Aptos"/>
                <w:b/>
                <w:color w:val="FFFFFF"/>
                <w:sz w:val="16"/>
              </w:rPr>
              <w:t>Input</w:t>
            </w:r>
          </w:p>
        </w:tc>
        <w:tc>
          <w:tcPr>
            <w:tcW w:type="dxa" w:w="3456"/>
            <w:shd w:fill="17324D"/>
            <w:tcMar>
              <w:top w:w="70" w:type="dxa"/>
              <w:start w:w="90" w:type="dxa"/>
              <w:bottom w:w="70" w:type="dxa"/>
              <w:end w:w="90" w:type="dxa"/>
            </w:tcMar>
            <w:vAlign w:val="center"/>
          </w:tcPr>
          <w:p>
            <w:pPr>
              <w:spacing w:after="0" w:before="0"/>
            </w:pPr>
            <w:r/>
            <w:r>
              <w:rPr>
                <w:rFonts w:ascii="Aptos" w:hAnsi="Aptos"/>
                <w:b/>
                <w:color w:val="FFFFFF"/>
                <w:sz w:val="16"/>
              </w:rPr>
              <w:t>Example</w:t>
            </w:r>
          </w:p>
        </w:tc>
        <w:tc>
          <w:tcPr>
            <w:tcW w:type="dxa" w:w="5904"/>
            <w:shd w:fill="17324D"/>
            <w:tcMar>
              <w:top w:w="70" w:type="dxa"/>
              <w:start w:w="90" w:type="dxa"/>
              <w:bottom w:w="70" w:type="dxa"/>
              <w:end w:w="90" w:type="dxa"/>
            </w:tcMar>
            <w:vAlign w:val="center"/>
          </w:tcPr>
          <w:p>
            <w:pPr>
              <w:spacing w:after="0" w:before="0"/>
            </w:pPr>
            <w:r/>
            <w:r>
              <w:rPr>
                <w:rFonts w:ascii="Aptos" w:hAnsi="Aptos"/>
                <w:b/>
                <w:color w:val="FFFFFF"/>
                <w:sz w:val="16"/>
              </w:rPr>
              <w:t>Output behavior</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6"/>
              </w:rPr>
              <w:t>Recurring Playbook cadence</w:t>
            </w:r>
          </w:p>
        </w:tc>
        <w:tc>
          <w:tcPr>
            <w:tcW w:type="dxa" w:w="3456"/>
            <w:tcMar>
              <w:top w:w="70" w:type="dxa"/>
              <w:start w:w="90" w:type="dxa"/>
              <w:bottom w:w="70" w:type="dxa"/>
              <w:end w:w="90" w:type="dxa"/>
            </w:tcMar>
            <w:vAlign w:val="top"/>
          </w:tcPr>
          <w:p>
            <w:pPr>
              <w:spacing w:after="0" w:before="0"/>
            </w:pPr>
            <w:r/>
            <w:r>
              <w:rPr>
                <w:rFonts w:ascii="Aptos" w:hAnsi="Aptos"/>
                <w:b w:val="0"/>
                <w:color w:val="1D252C"/>
                <w:sz w:val="16"/>
              </w:rPr>
              <w:t>linen turn weekly</w:t>
            </w:r>
          </w:p>
        </w:tc>
        <w:tc>
          <w:tcPr>
            <w:tcW w:type="dxa" w:w="5904"/>
            <w:tcMar>
              <w:top w:w="70" w:type="dxa"/>
              <w:start w:w="90" w:type="dxa"/>
              <w:bottom w:w="70" w:type="dxa"/>
              <w:end w:w="90" w:type="dxa"/>
            </w:tcMar>
            <w:vAlign w:val="top"/>
          </w:tcPr>
          <w:p>
            <w:pPr>
              <w:spacing w:after="0" w:before="0"/>
            </w:pPr>
            <w:r/>
            <w:r>
              <w:rPr>
                <w:rFonts w:ascii="Aptos" w:hAnsi="Aptos"/>
                <w:b w:val="0"/>
                <w:color w:val="1D252C"/>
                <w:sz w:val="16"/>
              </w:rPr>
              <w:t>Generate forecast occurrences into horizon.</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6"/>
              </w:rPr>
              <w:t>Temporal Layer</w:t>
            </w:r>
          </w:p>
        </w:tc>
        <w:tc>
          <w:tcPr>
            <w:tcW w:type="dxa" w:w="3456"/>
            <w:shd w:fill="FAFBFC"/>
            <w:tcMar>
              <w:top w:w="70" w:type="dxa"/>
              <w:start w:w="90" w:type="dxa"/>
              <w:bottom w:w="70" w:type="dxa"/>
              <w:end w:w="90" w:type="dxa"/>
            </w:tcMar>
            <w:vAlign w:val="top"/>
          </w:tcPr>
          <w:p>
            <w:pPr>
              <w:spacing w:after="0" w:before="0"/>
            </w:pPr>
            <w:r/>
            <w:r>
              <w:rPr>
                <w:rFonts w:ascii="Aptos" w:hAnsi="Aptos"/>
                <w:b w:val="0"/>
                <w:color w:val="1D252C"/>
                <w:sz w:val="16"/>
              </w:rPr>
              <w:t>passport expiry / HVAC age / school calendar</w:t>
            </w:r>
          </w:p>
        </w:tc>
        <w:tc>
          <w:tcPr>
            <w:tcW w:type="dxa" w:w="5904"/>
            <w:shd w:fill="FAFBFC"/>
            <w:tcMar>
              <w:top w:w="70" w:type="dxa"/>
              <w:start w:w="90" w:type="dxa"/>
              <w:bottom w:w="70" w:type="dxa"/>
              <w:end w:w="90" w:type="dxa"/>
            </w:tcMar>
            <w:vAlign w:val="top"/>
          </w:tcPr>
          <w:p>
            <w:pPr>
              <w:spacing w:after="0" w:before="0"/>
            </w:pPr>
            <w:r/>
            <w:r>
              <w:rPr>
                <w:rFonts w:ascii="Aptos" w:hAnsi="Aptos"/>
                <w:b w:val="0"/>
                <w:color w:val="1D252C"/>
                <w:sz w:val="16"/>
              </w:rPr>
              <w:t>Generate lead-time work before the final deadline.</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6"/>
              </w:rPr>
              <w:t>Trigger/Cascade</w:t>
            </w:r>
          </w:p>
        </w:tc>
        <w:tc>
          <w:tcPr>
            <w:tcW w:type="dxa" w:w="3456"/>
            <w:tcMar>
              <w:top w:w="70" w:type="dxa"/>
              <w:start w:w="90" w:type="dxa"/>
              <w:bottom w:w="70" w:type="dxa"/>
              <w:end w:w="90" w:type="dxa"/>
            </w:tcMar>
            <w:vAlign w:val="top"/>
          </w:tcPr>
          <w:p>
            <w:pPr>
              <w:spacing w:after="0" w:before="0"/>
            </w:pPr>
            <w:r/>
            <w:r>
              <w:rPr>
                <w:rFonts w:ascii="Aptos" w:hAnsi="Aptos"/>
                <w:b w:val="0"/>
                <w:color w:val="1D252C"/>
                <w:sz w:val="16"/>
              </w:rPr>
              <w:t>trip accepted</w:t>
            </w:r>
          </w:p>
        </w:tc>
        <w:tc>
          <w:tcPr>
            <w:tcW w:type="dxa" w:w="5904"/>
            <w:tcMar>
              <w:top w:w="70" w:type="dxa"/>
              <w:start w:w="90" w:type="dxa"/>
              <w:bottom w:w="70" w:type="dxa"/>
              <w:end w:w="90" w:type="dxa"/>
            </w:tcMar>
            <w:vAlign w:val="top"/>
          </w:tcPr>
          <w:p>
            <w:pPr>
              <w:spacing w:after="0" w:before="0"/>
            </w:pPr>
            <w:r/>
            <w:r>
              <w:rPr>
                <w:rFonts w:ascii="Aptos" w:hAnsi="Aptos"/>
                <w:b w:val="0"/>
                <w:color w:val="1D252C"/>
                <w:sz w:val="16"/>
              </w:rPr>
              <w:t>Generate travel preparation and return-home task bundle.</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6"/>
              </w:rPr>
              <w:t>Open loop</w:t>
            </w:r>
          </w:p>
        </w:tc>
        <w:tc>
          <w:tcPr>
            <w:tcW w:type="dxa" w:w="3456"/>
            <w:shd w:fill="FAFBFC"/>
            <w:tcMar>
              <w:top w:w="70" w:type="dxa"/>
              <w:start w:w="90" w:type="dxa"/>
              <w:bottom w:w="70" w:type="dxa"/>
              <w:end w:w="90" w:type="dxa"/>
            </w:tcMar>
            <w:vAlign w:val="top"/>
          </w:tcPr>
          <w:p>
            <w:pPr>
              <w:spacing w:after="0" w:before="0"/>
            </w:pPr>
            <w:r/>
            <w:r>
              <w:rPr>
                <w:rFonts w:ascii="Aptos" w:hAnsi="Aptos"/>
                <w:b w:val="0"/>
                <w:color w:val="1D252C"/>
                <w:sz w:val="16"/>
              </w:rPr>
              <w:t>vendor follow-up due</w:t>
            </w:r>
          </w:p>
        </w:tc>
        <w:tc>
          <w:tcPr>
            <w:tcW w:type="dxa" w:w="5904"/>
            <w:shd w:fill="FAFBFC"/>
            <w:tcMar>
              <w:top w:w="70" w:type="dxa"/>
              <w:start w:w="90" w:type="dxa"/>
              <w:bottom w:w="70" w:type="dxa"/>
              <w:end w:w="90" w:type="dxa"/>
            </w:tcMar>
            <w:vAlign w:val="top"/>
          </w:tcPr>
          <w:p>
            <w:pPr>
              <w:spacing w:after="0" w:before="0"/>
            </w:pPr>
            <w:r/>
            <w:r>
              <w:rPr>
                <w:rFonts w:ascii="Aptos" w:hAnsi="Aptos"/>
                <w:b w:val="0"/>
                <w:color w:val="1D252C"/>
                <w:sz w:val="16"/>
              </w:rPr>
              <w:t>Create ready requirement tied to owner and due date.</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6"/>
              </w:rPr>
              <w:t>External clock</w:t>
            </w:r>
          </w:p>
        </w:tc>
        <w:tc>
          <w:tcPr>
            <w:tcW w:type="dxa" w:w="3456"/>
            <w:tcMar>
              <w:top w:w="70" w:type="dxa"/>
              <w:start w:w="90" w:type="dxa"/>
              <w:bottom w:w="70" w:type="dxa"/>
              <w:end w:w="90" w:type="dxa"/>
            </w:tcMar>
            <w:vAlign w:val="top"/>
          </w:tcPr>
          <w:p>
            <w:pPr>
              <w:spacing w:after="0" w:before="0"/>
            </w:pPr>
            <w:r/>
            <w:r>
              <w:rPr>
                <w:rFonts w:ascii="Aptos" w:hAnsi="Aptos"/>
                <w:b w:val="0"/>
                <w:color w:val="1D252C"/>
                <w:sz w:val="16"/>
              </w:rPr>
              <w:t>freeze alert / municipal pickup shift</w:t>
            </w:r>
          </w:p>
        </w:tc>
        <w:tc>
          <w:tcPr>
            <w:tcW w:type="dxa" w:w="5904"/>
            <w:tcMar>
              <w:top w:w="70" w:type="dxa"/>
              <w:start w:w="90" w:type="dxa"/>
              <w:bottom w:w="70" w:type="dxa"/>
              <w:end w:w="90" w:type="dxa"/>
            </w:tcMar>
            <w:vAlign w:val="top"/>
          </w:tcPr>
          <w:p>
            <w:pPr>
              <w:spacing w:after="0" w:before="0"/>
            </w:pPr>
            <w:r/>
            <w:r>
              <w:rPr>
                <w:rFonts w:ascii="Aptos" w:hAnsi="Aptos"/>
                <w:b w:val="0"/>
                <w:color w:val="1D252C"/>
                <w:sz w:val="16"/>
              </w:rPr>
              <w:t>Activate conditional work only for affected household profiles.</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6"/>
              </w:rPr>
              <w:t>Household event</w:t>
            </w:r>
          </w:p>
        </w:tc>
        <w:tc>
          <w:tcPr>
            <w:tcW w:type="dxa" w:w="3456"/>
            <w:shd w:fill="FAFBFC"/>
            <w:tcMar>
              <w:top w:w="70" w:type="dxa"/>
              <w:start w:w="90" w:type="dxa"/>
              <w:bottom w:w="70" w:type="dxa"/>
              <w:end w:w="90" w:type="dxa"/>
            </w:tcMar>
            <w:vAlign w:val="top"/>
          </w:tcPr>
          <w:p>
            <w:pPr>
              <w:spacing w:after="0" w:before="0"/>
            </w:pPr>
            <w:r/>
            <w:r>
              <w:rPr>
                <w:rFonts w:ascii="Aptos" w:hAnsi="Aptos"/>
                <w:b w:val="0"/>
                <w:color w:val="1D252C"/>
                <w:sz w:val="16"/>
              </w:rPr>
              <w:t>hosting / school start / sick-child disruption</w:t>
            </w:r>
          </w:p>
        </w:tc>
        <w:tc>
          <w:tcPr>
            <w:tcW w:type="dxa" w:w="5904"/>
            <w:shd w:fill="FAFBFC"/>
            <w:tcMar>
              <w:top w:w="70" w:type="dxa"/>
              <w:start w:w="90" w:type="dxa"/>
              <w:bottom w:w="70" w:type="dxa"/>
              <w:end w:w="90" w:type="dxa"/>
            </w:tcMar>
            <w:vAlign w:val="top"/>
          </w:tcPr>
          <w:p>
            <w:pPr>
              <w:spacing w:after="0" w:before="0"/>
            </w:pPr>
            <w:r/>
            <w:r>
              <w:rPr>
                <w:rFonts w:ascii="Aptos" w:hAnsi="Aptos"/>
                <w:b w:val="0"/>
                <w:color w:val="1D252C"/>
                <w:sz w:val="16"/>
              </w:rPr>
              <w:t>Instantiate known workload bundle with decision checks.</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6"/>
              </w:rPr>
              <w:t>Human judgment</w:t>
            </w:r>
          </w:p>
        </w:tc>
        <w:tc>
          <w:tcPr>
            <w:tcW w:type="dxa" w:w="3456"/>
            <w:tcMar>
              <w:top w:w="70" w:type="dxa"/>
              <w:start w:w="90" w:type="dxa"/>
              <w:bottom w:w="70" w:type="dxa"/>
              <w:end w:w="90" w:type="dxa"/>
            </w:tcMar>
            <w:vAlign w:val="top"/>
          </w:tcPr>
          <w:p>
            <w:pPr>
              <w:spacing w:after="0" w:before="0"/>
            </w:pPr>
            <w:r/>
            <w:r>
              <w:rPr>
                <w:rFonts w:ascii="Aptos" w:hAnsi="Aptos"/>
                <w:b w:val="0"/>
                <w:color w:val="1D252C"/>
                <w:sz w:val="16"/>
              </w:rPr>
              <w:t>HOM observes zone drift</w:t>
            </w:r>
          </w:p>
        </w:tc>
        <w:tc>
          <w:tcPr>
            <w:tcW w:type="dxa" w:w="5904"/>
            <w:tcMar>
              <w:top w:w="70" w:type="dxa"/>
              <w:start w:w="90" w:type="dxa"/>
              <w:bottom w:w="70" w:type="dxa"/>
              <w:end w:w="90" w:type="dxa"/>
            </w:tcMar>
            <w:vAlign w:val="top"/>
          </w:tcPr>
          <w:p>
            <w:pPr>
              <w:spacing w:after="0" w:before="0"/>
            </w:pPr>
            <w:r/>
            <w:r>
              <w:rPr>
                <w:rFonts w:ascii="Aptos" w:hAnsi="Aptos"/>
                <w:b w:val="0"/>
                <w:color w:val="1D252C"/>
                <w:sz w:val="16"/>
              </w:rPr>
              <w:t>Create requirement or proposal with provenance.</w:t>
            </w:r>
          </w:p>
        </w:tc>
      </w:tr>
    </w:tbl>
    <w:p>
      <w:pPr>
        <w:spacing w:after="20"/>
      </w:pPr>
    </w:p>
    <w:p>
      <w:pPr>
        <w:pStyle w:val="Heading2"/>
        <w:spacing w:before="140" w:after="80"/>
        <w:keepNext w:val="1"/>
      </w:pPr>
      <w:r>
        <w:t>5.2 Model correlated task bundles</w:t>
      </w:r>
    </w:p>
    <w:p>
      <w:pPr>
        <w:spacing w:after="100" w:line="250" w:lineRule="auto"/>
      </w:pPr>
      <w:r>
        <w:rPr>
          <w:rFonts w:ascii="Aptos" w:hAnsi="Aptos"/>
          <w:i w:val="0"/>
        </w:rPr>
        <w:t>Household tasks are not independent. Travel, hosting, illness, moves, school starts, storms and life events create predictable clusters. Build a `task_bundle_definition` and `bundle_instance` model later in the forecasting phase. The bundle should generate candidate requirements but remain bounded by Decision Rights and existing trigger/cascade governance.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1800"/>
            <w:shd w:fill="17324D"/>
            <w:tcMar>
              <w:top w:w="70" w:type="dxa"/>
              <w:start w:w="90" w:type="dxa"/>
              <w:bottom w:w="70" w:type="dxa"/>
              <w:end w:w="90" w:type="dxa"/>
            </w:tcMar>
            <w:vAlign w:val="center"/>
          </w:tcPr>
          <w:p>
            <w:pPr>
              <w:spacing w:after="0" w:before="0"/>
            </w:pPr>
            <w:r/>
            <w:r>
              <w:rPr>
                <w:rFonts w:ascii="Aptos" w:hAnsi="Aptos"/>
                <w:b/>
                <w:color w:val="FFFFFF"/>
                <w:sz w:val="16"/>
              </w:rPr>
              <w:t>Bundle</w:t>
            </w:r>
          </w:p>
        </w:tc>
        <w:tc>
          <w:tcPr>
            <w:tcW w:type="dxa" w:w="6048"/>
            <w:shd w:fill="17324D"/>
            <w:tcMar>
              <w:top w:w="70" w:type="dxa"/>
              <w:start w:w="90" w:type="dxa"/>
              <w:bottom w:w="70" w:type="dxa"/>
              <w:end w:w="90" w:type="dxa"/>
            </w:tcMar>
            <w:vAlign w:val="center"/>
          </w:tcPr>
          <w:p>
            <w:pPr>
              <w:spacing w:after="0" w:before="0"/>
            </w:pPr>
            <w:r/>
            <w:r>
              <w:rPr>
                <w:rFonts w:ascii="Aptos" w:hAnsi="Aptos"/>
                <w:b/>
                <w:color w:val="FFFFFF"/>
                <w:sz w:val="16"/>
              </w:rPr>
              <w:t>Possible generated work</w:t>
            </w:r>
          </w:p>
        </w:tc>
        <w:tc>
          <w:tcPr>
            <w:tcW w:type="dxa" w:w="3744"/>
            <w:shd w:fill="17324D"/>
            <w:tcMar>
              <w:top w:w="70" w:type="dxa"/>
              <w:start w:w="90" w:type="dxa"/>
              <w:bottom w:w="70" w:type="dxa"/>
              <w:end w:w="90" w:type="dxa"/>
            </w:tcMar>
            <w:vAlign w:val="center"/>
          </w:tcPr>
          <w:p>
            <w:pPr>
              <w:spacing w:after="0" w:before="0"/>
            </w:pPr>
            <w:r/>
            <w:r>
              <w:rPr>
                <w:rFonts w:ascii="Aptos" w:hAnsi="Aptos"/>
                <w:b/>
                <w:color w:val="FFFFFF"/>
                <w:sz w:val="16"/>
              </w:rPr>
              <w:t>Why it matters for capacity</w:t>
            </w:r>
          </w:p>
        </w:tc>
      </w:tr>
      <w:tr>
        <w:trPr>
          <w:cantSplit w:val="1"/>
        </w:trPr>
        <w:tc>
          <w:tcPr>
            <w:tcW w:type="dxa" w:w="1800"/>
            <w:tcMar>
              <w:top w:w="70" w:type="dxa"/>
              <w:start w:w="90" w:type="dxa"/>
              <w:bottom w:w="70" w:type="dxa"/>
              <w:end w:w="90" w:type="dxa"/>
            </w:tcMar>
            <w:vAlign w:val="top"/>
          </w:tcPr>
          <w:p>
            <w:pPr>
              <w:spacing w:after="0" w:before="0"/>
            </w:pPr>
            <w:r/>
            <w:r>
              <w:rPr>
                <w:rFonts w:ascii="Aptos" w:hAnsi="Aptos"/>
                <w:b w:val="0"/>
                <w:color w:val="1D252C"/>
                <w:sz w:val="16"/>
              </w:rPr>
              <w:t>Travel</w:t>
            </w:r>
          </w:p>
        </w:tc>
        <w:tc>
          <w:tcPr>
            <w:tcW w:type="dxa" w:w="6048"/>
            <w:tcMar>
              <w:top w:w="70" w:type="dxa"/>
              <w:start w:w="90" w:type="dxa"/>
              <w:bottom w:w="70" w:type="dxa"/>
              <w:end w:w="90" w:type="dxa"/>
            </w:tcMar>
            <w:vAlign w:val="top"/>
          </w:tcPr>
          <w:p>
            <w:pPr>
              <w:spacing w:after="0" w:before="0"/>
            </w:pPr>
            <w:r/>
            <w:r>
              <w:rPr>
                <w:rFonts w:ascii="Aptos" w:hAnsi="Aptos"/>
                <w:b w:val="0"/>
                <w:color w:val="1D252C"/>
                <w:sz w:val="16"/>
              </w:rPr>
              <w:t>packing support, pet plan, fridge intervention, package/mail rules, departure reset, return groceries, laundry, calendar re-entry</w:t>
            </w:r>
          </w:p>
        </w:tc>
        <w:tc>
          <w:tcPr>
            <w:tcW w:type="dxa" w:w="3744"/>
            <w:tcMar>
              <w:top w:w="70" w:type="dxa"/>
              <w:start w:w="90" w:type="dxa"/>
              <w:bottom w:w="70" w:type="dxa"/>
              <w:end w:w="90" w:type="dxa"/>
            </w:tcMar>
            <w:vAlign w:val="top"/>
          </w:tcPr>
          <w:p>
            <w:pPr>
              <w:spacing w:after="0" w:before="0"/>
            </w:pPr>
            <w:r/>
            <w:r>
              <w:rPr>
                <w:rFonts w:ascii="Aptos" w:hAnsi="Aptos"/>
                <w:b w:val="0"/>
                <w:color w:val="1D252C"/>
                <w:sz w:val="16"/>
              </w:rPr>
              <w:t>One event creates pre- and post-trip load.</w:t>
            </w:r>
          </w:p>
        </w:tc>
      </w:tr>
      <w:tr>
        <w:trPr>
          <w:cantSplit w:val="1"/>
        </w:trPr>
        <w:tc>
          <w:tcPr>
            <w:tcW w:type="dxa" w:w="1800"/>
            <w:shd w:fill="FAFBFC"/>
            <w:tcMar>
              <w:top w:w="70" w:type="dxa"/>
              <w:start w:w="90" w:type="dxa"/>
              <w:bottom w:w="70" w:type="dxa"/>
              <w:end w:w="90" w:type="dxa"/>
            </w:tcMar>
            <w:vAlign w:val="top"/>
          </w:tcPr>
          <w:p>
            <w:pPr>
              <w:spacing w:after="0" w:before="0"/>
            </w:pPr>
            <w:r/>
            <w:r>
              <w:rPr>
                <w:rFonts w:ascii="Aptos" w:hAnsi="Aptos"/>
                <w:b w:val="0"/>
                <w:color w:val="1D252C"/>
                <w:sz w:val="16"/>
              </w:rPr>
              <w:t>Hosting</w:t>
            </w:r>
          </w:p>
        </w:tc>
        <w:tc>
          <w:tcPr>
            <w:tcW w:type="dxa" w:w="6048"/>
            <w:shd w:fill="FAFBFC"/>
            <w:tcMar>
              <w:top w:w="70" w:type="dxa"/>
              <w:start w:w="90" w:type="dxa"/>
              <w:bottom w:w="70" w:type="dxa"/>
              <w:end w:w="90" w:type="dxa"/>
            </w:tcMar>
            <w:vAlign w:val="top"/>
          </w:tcPr>
          <w:p>
            <w:pPr>
              <w:spacing w:after="0" w:before="0"/>
            </w:pPr>
            <w:r/>
            <w:r>
              <w:rPr>
                <w:rFonts w:ascii="Aptos" w:hAnsi="Aptos"/>
                <w:b w:val="0"/>
                <w:color w:val="1D252C"/>
                <w:sz w:val="16"/>
              </w:rPr>
              <w:t>guest room, groceries, floral/hosting setup, vendor coordination, day-of reset, post-host reset</w:t>
            </w:r>
          </w:p>
        </w:tc>
        <w:tc>
          <w:tcPr>
            <w:tcW w:type="dxa" w:w="3744"/>
            <w:shd w:fill="FAFBFC"/>
            <w:tcMar>
              <w:top w:w="70" w:type="dxa"/>
              <w:start w:w="90" w:type="dxa"/>
              <w:bottom w:w="70" w:type="dxa"/>
              <w:end w:w="90" w:type="dxa"/>
            </w:tcMar>
            <w:vAlign w:val="top"/>
          </w:tcPr>
          <w:p>
            <w:pPr>
              <w:spacing w:after="0" w:before="0"/>
            </w:pPr>
            <w:r/>
            <w:r>
              <w:rPr>
                <w:rFonts w:ascii="Aptos" w:hAnsi="Aptos"/>
                <w:b w:val="0"/>
                <w:color w:val="1D252C"/>
                <w:sz w:val="16"/>
              </w:rPr>
              <w:t>Demand clusters around a hard date.</w:t>
            </w:r>
          </w:p>
        </w:tc>
      </w:tr>
      <w:tr>
        <w:trPr>
          <w:cantSplit w:val="1"/>
        </w:trPr>
        <w:tc>
          <w:tcPr>
            <w:tcW w:type="dxa" w:w="1800"/>
            <w:tcMar>
              <w:top w:w="70" w:type="dxa"/>
              <w:start w:w="90" w:type="dxa"/>
              <w:bottom w:w="70" w:type="dxa"/>
              <w:end w:w="90" w:type="dxa"/>
            </w:tcMar>
            <w:vAlign w:val="top"/>
          </w:tcPr>
          <w:p>
            <w:pPr>
              <w:spacing w:after="0" w:before="0"/>
            </w:pPr>
            <w:r/>
            <w:r>
              <w:rPr>
                <w:rFonts w:ascii="Aptos" w:hAnsi="Aptos"/>
                <w:b w:val="0"/>
                <w:color w:val="1D252C"/>
                <w:sz w:val="16"/>
              </w:rPr>
              <w:t>School start</w:t>
            </w:r>
          </w:p>
        </w:tc>
        <w:tc>
          <w:tcPr>
            <w:tcW w:type="dxa" w:w="6048"/>
            <w:tcMar>
              <w:top w:w="70" w:type="dxa"/>
              <w:start w:w="90" w:type="dxa"/>
              <w:bottom w:w="70" w:type="dxa"/>
              <w:end w:w="90" w:type="dxa"/>
            </w:tcMar>
            <w:vAlign w:val="top"/>
          </w:tcPr>
          <w:p>
            <w:pPr>
              <w:spacing w:after="0" w:before="0"/>
            </w:pPr>
            <w:r/>
            <w:r>
              <w:rPr>
                <w:rFonts w:ascii="Aptos" w:hAnsi="Aptos"/>
                <w:b w:val="0"/>
                <w:color w:val="1D252C"/>
                <w:sz w:val="16"/>
              </w:rPr>
              <w:t>calendar ingestion, gear, forms, supplies, transport conflicts, household routine reset</w:t>
            </w:r>
          </w:p>
        </w:tc>
        <w:tc>
          <w:tcPr>
            <w:tcW w:type="dxa" w:w="3744"/>
            <w:tcMar>
              <w:top w:w="70" w:type="dxa"/>
              <w:start w:w="90" w:type="dxa"/>
              <w:bottom w:w="70" w:type="dxa"/>
              <w:end w:w="90" w:type="dxa"/>
            </w:tcMar>
            <w:vAlign w:val="top"/>
          </w:tcPr>
          <w:p>
            <w:pPr>
              <w:spacing w:after="0" w:before="0"/>
            </w:pPr>
            <w:r/>
            <w:r>
              <w:rPr>
                <w:rFonts w:ascii="Aptos" w:hAnsi="Aptos"/>
                <w:b w:val="0"/>
                <w:color w:val="1D252C"/>
                <w:sz w:val="16"/>
              </w:rPr>
              <w:t>Temporal layer can forecast it weeks ahead.</w:t>
            </w:r>
          </w:p>
        </w:tc>
      </w:tr>
      <w:tr>
        <w:trPr>
          <w:cantSplit w:val="1"/>
        </w:trPr>
        <w:tc>
          <w:tcPr>
            <w:tcW w:type="dxa" w:w="1800"/>
            <w:shd w:fill="FAFBFC"/>
            <w:tcMar>
              <w:top w:w="70" w:type="dxa"/>
              <w:start w:w="90" w:type="dxa"/>
              <w:bottom w:w="70" w:type="dxa"/>
              <w:end w:w="90" w:type="dxa"/>
            </w:tcMar>
            <w:vAlign w:val="top"/>
          </w:tcPr>
          <w:p>
            <w:pPr>
              <w:spacing w:after="0" w:before="0"/>
            </w:pPr>
            <w:r/>
            <w:r>
              <w:rPr>
                <w:rFonts w:ascii="Aptos" w:hAnsi="Aptos"/>
                <w:b w:val="0"/>
                <w:color w:val="1D252C"/>
                <w:sz w:val="16"/>
              </w:rPr>
              <w:t>Weather event</w:t>
            </w:r>
          </w:p>
        </w:tc>
        <w:tc>
          <w:tcPr>
            <w:tcW w:type="dxa" w:w="6048"/>
            <w:shd w:fill="FAFBFC"/>
            <w:tcMar>
              <w:top w:w="70" w:type="dxa"/>
              <w:start w:w="90" w:type="dxa"/>
              <w:bottom w:w="70" w:type="dxa"/>
              <w:end w:w="90" w:type="dxa"/>
            </w:tcMar>
            <w:vAlign w:val="top"/>
          </w:tcPr>
          <w:p>
            <w:pPr>
              <w:spacing w:after="0" w:before="0"/>
            </w:pPr>
            <w:r/>
            <w:r>
              <w:rPr>
                <w:rFonts w:ascii="Aptos" w:hAnsi="Aptos"/>
                <w:b w:val="0"/>
                <w:color w:val="1D252C"/>
                <w:sz w:val="16"/>
              </w:rPr>
              <w:t>freeze/storm preparation, exterior/system checks, supply verification, vendor coordination</w:t>
            </w:r>
          </w:p>
        </w:tc>
        <w:tc>
          <w:tcPr>
            <w:tcW w:type="dxa" w:w="3744"/>
            <w:shd w:fill="FAFBFC"/>
            <w:tcMar>
              <w:top w:w="70" w:type="dxa"/>
              <w:start w:w="90" w:type="dxa"/>
              <w:bottom w:w="70" w:type="dxa"/>
              <w:end w:w="90" w:type="dxa"/>
            </w:tcMar>
            <w:vAlign w:val="top"/>
          </w:tcPr>
          <w:p>
            <w:pPr>
              <w:spacing w:after="0" w:before="0"/>
            </w:pPr>
            <w:r/>
            <w:r>
              <w:rPr>
                <w:rFonts w:ascii="Aptos" w:hAnsi="Aptos"/>
                <w:b w:val="0"/>
                <w:color w:val="1D252C"/>
                <w:sz w:val="16"/>
              </w:rPr>
              <w:t>External feed can create simultaneous load across a cluster.</w:t>
            </w:r>
          </w:p>
        </w:tc>
      </w:tr>
    </w:tbl>
    <w:p>
      <w:pPr>
        <w:spacing w:after="20"/>
      </w:pPr>
    </w:p>
    <w:p>
      <w:pPr>
        <w:pStyle w:val="Heading2"/>
        <w:spacing w:before="140" w:after="80"/>
        <w:keepNext w:val="1"/>
      </w:pPr>
      <w:r>
        <w:t>5.3 Household forecast record</w:t>
      </w:r>
    </w:p>
    <w:p>
      <w:pPr>
        <w:pStyle w:val="ListBullet"/>
        <w:spacing w:after="40" w:line="245" w:lineRule="auto"/>
        <w:ind w:left="259" w:hanging="173"/>
      </w:pPr>
      <w:r>
        <w:rPr>
          <w:rFonts w:ascii="Aptos" w:hAnsi="Aptos"/>
          <w:color w:val="1D252C"/>
          <w:sz w:val="18"/>
        </w:rPr>
        <w:t>forecast window start/end and household local timezone</w:t>
      </w:r>
    </w:p>
    <w:p>
      <w:pPr>
        <w:pStyle w:val="ListBullet"/>
        <w:spacing w:after="40" w:line="245" w:lineRule="auto"/>
        <w:ind w:left="259" w:hanging="173"/>
      </w:pPr>
      <w:r>
        <w:rPr>
          <w:rFonts w:ascii="Aptos" w:hAnsi="Aptos"/>
          <w:color w:val="1D252C"/>
          <w:sz w:val="18"/>
        </w:rPr>
        <w:t>forecast generation version and data snapshot</w:t>
      </w:r>
    </w:p>
    <w:p>
      <w:pPr>
        <w:pStyle w:val="ListBullet"/>
        <w:spacing w:after="40" w:line="245" w:lineRule="auto"/>
        <w:ind w:left="259" w:hanging="173"/>
      </w:pPr>
      <w:r>
        <w:rPr>
          <w:rFonts w:ascii="Aptos" w:hAnsi="Aptos"/>
          <w:color w:val="1D252C"/>
          <w:sz w:val="18"/>
        </w:rPr>
        <w:t>P50 and P80 work by week and day</w:t>
      </w:r>
    </w:p>
    <w:p>
      <w:pPr>
        <w:pStyle w:val="ListBullet"/>
        <w:spacing w:after="40" w:line="245" w:lineRule="auto"/>
        <w:ind w:left="259" w:hanging="173"/>
      </w:pPr>
      <w:r>
        <w:rPr>
          <w:rFonts w:ascii="Aptos" w:hAnsi="Aptos"/>
          <w:color w:val="1D252C"/>
          <w:sz w:val="18"/>
        </w:rPr>
        <w:t>onsite active, remote, access, nonparallel presence/wait and predicted travel as separate totals</w:t>
      </w:r>
    </w:p>
    <w:p>
      <w:pPr>
        <w:pStyle w:val="ListBullet"/>
        <w:spacing w:after="40" w:line="245" w:lineRule="auto"/>
        <w:ind w:left="259" w:hanging="173"/>
      </w:pPr>
      <w:r>
        <w:rPr>
          <w:rFonts w:ascii="Aptos" w:hAnsi="Aptos"/>
          <w:color w:val="1D252C"/>
          <w:sz w:val="18"/>
        </w:rPr>
        <w:t>high-variance/low-confidence workload</w:t>
      </w:r>
    </w:p>
    <w:p>
      <w:pPr>
        <w:pStyle w:val="ListBullet"/>
        <w:spacing w:after="40" w:line="245" w:lineRule="auto"/>
        <w:ind w:left="259" w:hanging="173"/>
      </w:pPr>
      <w:r>
        <w:rPr>
          <w:rFonts w:ascii="Aptos" w:hAnsi="Aptos"/>
          <w:color w:val="1D252C"/>
          <w:sz w:val="18"/>
        </w:rPr>
        <w:t>open-loop and decision-dependent burden</w:t>
      </w:r>
    </w:p>
    <w:p>
      <w:pPr>
        <w:pStyle w:val="ListBullet"/>
        <w:spacing w:after="40" w:line="245" w:lineRule="auto"/>
        <w:ind w:left="259" w:hanging="173"/>
      </w:pPr>
      <w:r>
        <w:rPr>
          <w:rFonts w:ascii="Aptos" w:hAnsi="Aptos"/>
          <w:color w:val="1D252C"/>
          <w:sz w:val="18"/>
        </w:rPr>
        <w:t>top activating events/bundles</w:t>
      </w:r>
    </w:p>
    <w:p>
      <w:pPr>
        <w:pStyle w:val="ListBullet"/>
        <w:spacing w:after="40" w:line="245" w:lineRule="auto"/>
        <w:ind w:left="259" w:hanging="173"/>
      </w:pPr>
      <w:r>
        <w:rPr>
          <w:rFonts w:ascii="Aptos" w:hAnsi="Aptos"/>
          <w:color w:val="1D252C"/>
          <w:sz w:val="18"/>
        </w:rPr>
        <w:t>structural reserve consumed / available</w:t>
      </w:r>
    </w:p>
    <w:p>
      <w:pPr>
        <w:pStyle w:val="ListBullet"/>
        <w:spacing w:after="40" w:line="245" w:lineRule="auto"/>
        <w:ind w:left="259" w:hanging="173"/>
      </w:pPr>
      <w:r>
        <w:rPr>
          <w:rFonts w:ascii="Aptos" w:hAnsi="Aptos"/>
          <w:color w:val="1D252C"/>
          <w:sz w:val="18"/>
        </w:rPr>
        <w:t>manual HOM capacity note and authoritative override state</w:t>
      </w:r>
    </w:p>
    <w:p>
      <w:pPr>
        <w:pStyle w:val="Heading1"/>
        <w:spacing w:before="200" w:after="80"/>
        <w:keepNext w:val="1"/>
      </w:pPr>
      <w:r>
        <w:t>6. Constraint model and later scheduling recommendations</w:t>
      </w:r>
    </w:p>
    <w:p>
      <w:pPr>
        <w:pStyle w:val="Heading2"/>
        <w:spacing w:before="140" w:after="80"/>
        <w:keepNext w:val="1"/>
      </w:pPr>
      <w:r>
        <w:t>6.1 Hard constraints versus soft preferences</w:t>
      </w:r>
    </w:p>
    <w:p>
      <w:pPr>
        <w:spacing w:after="100" w:line="250" w:lineRule="auto"/>
      </w:pPr>
      <w:r>
        <w:rPr>
          <w:rFonts w:ascii="Aptos" w:hAnsi="Aptos"/>
          <w:i w:val="0"/>
        </w:rPr>
        <w:t>Salesforce, Microsoft and Skedulo all distinguish candidate eligibility from optimization priorities. Well Kept should make the same distinction now even though v1 will not optimize autonomously.</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5328"/>
            <w:shd w:fill="17324D"/>
            <w:tcMar>
              <w:top w:w="70" w:type="dxa"/>
              <w:start w:w="90" w:type="dxa"/>
              <w:bottom w:w="70" w:type="dxa"/>
              <w:end w:w="90" w:type="dxa"/>
            </w:tcMar>
            <w:vAlign w:val="center"/>
          </w:tcPr>
          <w:p>
            <w:pPr>
              <w:spacing w:after="0" w:before="0"/>
            </w:pPr>
            <w:r/>
            <w:r>
              <w:rPr>
                <w:rFonts w:ascii="Aptos" w:hAnsi="Aptos"/>
                <w:b/>
                <w:color w:val="FFFFFF"/>
                <w:sz w:val="16"/>
              </w:rPr>
              <w:t>Hard constraint: cannot violate</w:t>
            </w:r>
          </w:p>
        </w:tc>
        <w:tc>
          <w:tcPr>
            <w:tcW w:type="dxa" w:w="5328"/>
            <w:shd w:fill="17324D"/>
            <w:tcMar>
              <w:top w:w="70" w:type="dxa"/>
              <w:start w:w="90" w:type="dxa"/>
              <w:bottom w:w="70" w:type="dxa"/>
              <w:end w:w="90" w:type="dxa"/>
            </w:tcMar>
            <w:vAlign w:val="center"/>
          </w:tcPr>
          <w:p>
            <w:pPr>
              <w:spacing w:after="0" w:before="0"/>
            </w:pPr>
            <w:r/>
            <w:r>
              <w:rPr>
                <w:rFonts w:ascii="Aptos" w:hAnsi="Aptos"/>
                <w:b/>
                <w:color w:val="FFFFFF"/>
                <w:sz w:val="16"/>
              </w:rPr>
              <w:t>Soft preference: may trade off</w:t>
            </w:r>
          </w:p>
        </w:tc>
      </w:tr>
      <w:tr>
        <w:trPr>
          <w:cantSplit w:val="1"/>
        </w:trPr>
        <w:tc>
          <w:tcPr>
            <w:tcW w:type="dxa" w:w="5328"/>
            <w:tcMar>
              <w:top w:w="70" w:type="dxa"/>
              <w:start w:w="90" w:type="dxa"/>
              <w:bottom w:w="70" w:type="dxa"/>
              <w:end w:w="90" w:type="dxa"/>
            </w:tcMar>
            <w:vAlign w:val="top"/>
          </w:tcPr>
          <w:p>
            <w:pPr>
              <w:spacing w:after="0" w:before="0"/>
            </w:pPr>
            <w:r/>
            <w:r>
              <w:rPr>
                <w:rFonts w:ascii="Aptos" w:hAnsi="Aptos"/>
                <w:b w:val="0"/>
                <w:color w:val="1D252C"/>
                <w:sz w:val="16"/>
              </w:rPr>
              <w:t>Required skill/certification or task-scoped access</w:t>
            </w:r>
          </w:p>
        </w:tc>
        <w:tc>
          <w:tcPr>
            <w:tcW w:type="dxa" w:w="5328"/>
            <w:tcMar>
              <w:top w:w="70" w:type="dxa"/>
              <w:start w:w="90" w:type="dxa"/>
              <w:bottom w:w="70" w:type="dxa"/>
              <w:end w:w="90" w:type="dxa"/>
            </w:tcMar>
            <w:vAlign w:val="top"/>
          </w:tcPr>
          <w:p>
            <w:pPr>
              <w:spacing w:after="0" w:before="0"/>
            </w:pPr>
            <w:r/>
            <w:r>
              <w:rPr>
                <w:rFonts w:ascii="Aptos" w:hAnsi="Aptos"/>
                <w:b w:val="0"/>
                <w:color w:val="1D252C"/>
                <w:sz w:val="16"/>
              </w:rPr>
              <w:t>Primary HOM continuity</w:t>
            </w:r>
          </w:p>
        </w:tc>
      </w:tr>
      <w:tr>
        <w:trPr>
          <w:cantSplit w:val="1"/>
        </w:trPr>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Household/member/vendor access window</w:t>
            </w:r>
          </w:p>
        </w:tc>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Preferred day or sequence</w:t>
            </w:r>
          </w:p>
        </w:tc>
      </w:tr>
      <w:tr>
        <w:trPr>
          <w:cantSplit w:val="1"/>
        </w:trPr>
        <w:tc>
          <w:tcPr>
            <w:tcW w:type="dxa" w:w="5328"/>
            <w:tcMar>
              <w:top w:w="70" w:type="dxa"/>
              <w:start w:w="90" w:type="dxa"/>
              <w:bottom w:w="70" w:type="dxa"/>
              <w:end w:w="90" w:type="dxa"/>
            </w:tcMar>
            <w:vAlign w:val="top"/>
          </w:tcPr>
          <w:p>
            <w:pPr>
              <w:spacing w:after="0" w:before="0"/>
            </w:pPr>
            <w:r/>
            <w:r>
              <w:rPr>
                <w:rFonts w:ascii="Aptos" w:hAnsi="Aptos"/>
                <w:b w:val="0"/>
                <w:color w:val="1D252C"/>
                <w:sz w:val="16"/>
              </w:rPr>
              <w:t>Safety/standard boundary</w:t>
            </w:r>
          </w:p>
        </w:tc>
        <w:tc>
          <w:tcPr>
            <w:tcW w:type="dxa" w:w="5328"/>
            <w:tcMar>
              <w:top w:w="70" w:type="dxa"/>
              <w:start w:w="90" w:type="dxa"/>
              <w:bottom w:w="70" w:type="dxa"/>
              <w:end w:w="90" w:type="dxa"/>
            </w:tcMar>
            <w:vAlign w:val="top"/>
          </w:tcPr>
          <w:p>
            <w:pPr>
              <w:spacing w:after="0" w:before="0"/>
            </w:pPr>
            <w:r/>
            <w:r>
              <w:rPr>
                <w:rFonts w:ascii="Aptos" w:hAnsi="Aptos"/>
                <w:b w:val="0"/>
                <w:color w:val="1D252C"/>
                <w:sz w:val="16"/>
              </w:rPr>
              <w:t>Minimize travel</w:t>
            </w:r>
          </w:p>
        </w:tc>
      </w:tr>
      <w:tr>
        <w:trPr>
          <w:cantSplit w:val="1"/>
        </w:trPr>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Decision Rights / authority required</w:t>
            </w:r>
          </w:p>
        </w:tc>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Balance workload</w:t>
            </w:r>
          </w:p>
        </w:tc>
      </w:tr>
      <w:tr>
        <w:trPr>
          <w:cantSplit w:val="1"/>
        </w:trPr>
        <w:tc>
          <w:tcPr>
            <w:tcW w:type="dxa" w:w="5328"/>
            <w:tcMar>
              <w:top w:w="70" w:type="dxa"/>
              <w:start w:w="90" w:type="dxa"/>
              <w:bottom w:w="70" w:type="dxa"/>
              <w:end w:w="90" w:type="dxa"/>
            </w:tcMar>
            <w:vAlign w:val="top"/>
          </w:tcPr>
          <w:p>
            <w:pPr>
              <w:spacing w:after="0" w:before="0"/>
            </w:pPr>
            <w:r/>
            <w:r>
              <w:rPr>
                <w:rFonts w:ascii="Aptos" w:hAnsi="Aptos"/>
                <w:b w:val="0"/>
                <w:color w:val="1D252C"/>
                <w:sz w:val="16"/>
              </w:rPr>
              <w:t>Person/vehicle/space prerequisite</w:t>
            </w:r>
          </w:p>
        </w:tc>
        <w:tc>
          <w:tcPr>
            <w:tcW w:type="dxa" w:w="5328"/>
            <w:tcMar>
              <w:top w:w="70" w:type="dxa"/>
              <w:start w:w="90" w:type="dxa"/>
              <w:bottom w:w="70" w:type="dxa"/>
              <w:end w:w="90" w:type="dxa"/>
            </w:tcMar>
            <w:vAlign w:val="top"/>
          </w:tcPr>
          <w:p>
            <w:pPr>
              <w:spacing w:after="0" w:before="0"/>
            </w:pPr>
            <w:r/>
            <w:r>
              <w:rPr>
                <w:rFonts w:ascii="Aptos" w:hAnsi="Aptos"/>
                <w:b w:val="0"/>
                <w:color w:val="1D252C"/>
                <w:sz w:val="16"/>
              </w:rPr>
              <w:t>Minimize schedule churn</w:t>
            </w:r>
          </w:p>
        </w:tc>
      </w:tr>
      <w:tr>
        <w:trPr>
          <w:cantSplit w:val="1"/>
        </w:trPr>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Promised arrival/completion window</w:t>
            </w:r>
          </w:p>
        </w:tc>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Context batching</w:t>
            </w:r>
          </w:p>
        </w:tc>
      </w:tr>
      <w:tr>
        <w:trPr>
          <w:cantSplit w:val="1"/>
        </w:trPr>
        <w:tc>
          <w:tcPr>
            <w:tcW w:type="dxa" w:w="5328"/>
            <w:tcMar>
              <w:top w:w="70" w:type="dxa"/>
              <w:start w:w="90" w:type="dxa"/>
              <w:bottom w:w="70" w:type="dxa"/>
              <w:end w:w="90" w:type="dxa"/>
            </w:tcMar>
            <w:vAlign w:val="top"/>
          </w:tcPr>
          <w:p>
            <w:pPr>
              <w:spacing w:after="0" w:before="0"/>
            </w:pPr>
            <w:r/>
            <w:r>
              <w:rPr>
                <w:rFonts w:ascii="Aptos" w:hAnsi="Aptos"/>
                <w:b w:val="0"/>
                <w:color w:val="1D252C"/>
                <w:sz w:val="16"/>
              </w:rPr>
              <w:t>HOM availability / safe workload limit</w:t>
            </w:r>
          </w:p>
        </w:tc>
        <w:tc>
          <w:tcPr>
            <w:tcW w:type="dxa" w:w="5328"/>
            <w:tcMar>
              <w:top w:w="70" w:type="dxa"/>
              <w:start w:w="90" w:type="dxa"/>
              <w:bottom w:w="70" w:type="dxa"/>
              <w:end w:w="90" w:type="dxa"/>
            </w:tcMar>
            <w:vAlign w:val="top"/>
          </w:tcPr>
          <w:p>
            <w:pPr>
              <w:spacing w:after="0" w:before="0"/>
            </w:pPr>
            <w:r/>
            <w:r>
              <w:rPr>
                <w:rFonts w:ascii="Aptos" w:hAnsi="Aptos"/>
                <w:b w:val="0"/>
                <w:color w:val="1D252C"/>
                <w:sz w:val="16"/>
              </w:rPr>
              <w:t>Pull-forward of nearby nonurgent work</w:t>
            </w:r>
          </w:p>
        </w:tc>
      </w:tr>
      <w:tr>
        <w:trPr>
          <w:cantSplit w:val="1"/>
        </w:trPr>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Required equipment/facility/resource</w:t>
            </w:r>
          </w:p>
        </w:tc>
        <w:tc>
          <w:tcPr>
            <w:tcW w:type="dxa" w:w="5328"/>
            <w:shd w:fill="FAFBFC"/>
            <w:tcMar>
              <w:top w:w="70" w:type="dxa"/>
              <w:start w:w="90" w:type="dxa"/>
              <w:bottom w:w="70" w:type="dxa"/>
              <w:end w:w="90" w:type="dxa"/>
            </w:tcMar>
            <w:vAlign w:val="top"/>
          </w:tcPr>
          <w:p>
            <w:pPr>
              <w:spacing w:after="0" w:before="0"/>
            </w:pPr>
            <w:r/>
            <w:r>
              <w:rPr>
                <w:rFonts w:ascii="Aptos" w:hAnsi="Aptos"/>
                <w:b w:val="0"/>
                <w:color w:val="1D252C"/>
                <w:sz w:val="16"/>
              </w:rPr>
              <w:t>Use least-disruptive time within valid window</w:t>
            </w:r>
          </w:p>
        </w:tc>
      </w:tr>
    </w:tbl>
    <w:p>
      <w:pPr>
        <w:spacing w:after="20"/>
      </w:pPr>
    </w:p>
    <w:p>
      <w:pPr>
        <w:pStyle w:val="Heading2"/>
        <w:spacing w:before="140" w:after="80"/>
        <w:keepNext w:val="1"/>
      </w:pPr>
      <w:r>
        <w:t>6.2 Resource Profile</w:t>
      </w:r>
    </w:p>
    <w:p>
      <w:pPr>
        <w:spacing w:after="100" w:line="250" w:lineRule="auto"/>
      </w:pPr>
      <w:r>
        <w:rPr>
          <w:rFonts w:ascii="Aptos" w:hAnsi="Aptos"/>
          <w:i w:val="0"/>
        </w:rPr>
        <w:t>Create a schedulable resource profile for HOMs and, where operationally necessary, non-person resources. Microsoft treats equipment, facilities, crews and pools as bookable resources. Well Kept should use the same abstraction only where it reduces hidden constraints.</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880"/>
            <w:shd w:fill="17324D"/>
            <w:tcMar>
              <w:top w:w="70" w:type="dxa"/>
              <w:start w:w="90" w:type="dxa"/>
              <w:bottom w:w="70" w:type="dxa"/>
              <w:end w:w="90" w:type="dxa"/>
            </w:tcMar>
            <w:vAlign w:val="center"/>
          </w:tcPr>
          <w:p>
            <w:pPr>
              <w:spacing w:after="0" w:before="0"/>
            </w:pPr>
            <w:r/>
            <w:r>
              <w:rPr>
                <w:rFonts w:ascii="Aptos" w:hAnsi="Aptos"/>
                <w:b/>
                <w:color w:val="FFFFFF"/>
                <w:sz w:val="16"/>
              </w:rPr>
              <w:t>Resource field</w:t>
            </w:r>
          </w:p>
        </w:tc>
        <w:tc>
          <w:tcPr>
            <w:tcW w:type="dxa" w:w="7992"/>
            <w:shd w:fill="17324D"/>
            <w:tcMar>
              <w:top w:w="70" w:type="dxa"/>
              <w:start w:w="90" w:type="dxa"/>
              <w:bottom w:w="70" w:type="dxa"/>
              <w:end w:w="90" w:type="dxa"/>
            </w:tcMar>
            <w:vAlign w:val="center"/>
          </w:tcPr>
          <w:p>
            <w:pPr>
              <w:spacing w:after="0" w:before="0"/>
            </w:pPr>
            <w:r/>
            <w:r>
              <w:rPr>
                <w:rFonts w:ascii="Aptos" w:hAnsi="Aptos"/>
                <w:b/>
                <w:color w:val="FFFFFF"/>
                <w:sz w:val="16"/>
              </w:rPr>
              <w:t>Well Kept use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availability / shift</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Actual schedulable time, PTO, training, admin/remote blocks.</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territory / cluster</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Density and routing eligibility.</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skill / certification</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Tasks that require specific competence or authorization.</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primary households</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Continuity preference.</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backup qualification</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Known, trained backup relationship rather than any available HOM.</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vehicle / transport</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Only where a task requires carrying equipment/errands; never model transporting people if outside service boundary.</w:t>
            </w:r>
          </w:p>
        </w:tc>
      </w:tr>
      <w:tr>
        <w:trPr>
          <w:cantSplit w:val="1"/>
        </w:trPr>
        <w:tc>
          <w:tcPr>
            <w:tcW w:type="dxa" w:w="2880"/>
            <w:tcMar>
              <w:top w:w="70" w:type="dxa"/>
              <w:start w:w="90" w:type="dxa"/>
              <w:bottom w:w="70" w:type="dxa"/>
              <w:end w:w="90" w:type="dxa"/>
            </w:tcMar>
            <w:vAlign w:val="top"/>
          </w:tcPr>
          <w:p>
            <w:pPr>
              <w:spacing w:after="0" w:before="0"/>
            </w:pPr>
            <w:r/>
            <w:r>
              <w:rPr>
                <w:rFonts w:ascii="Aptos" w:hAnsi="Aptos"/>
                <w:b w:val="0"/>
                <w:color w:val="1D252C"/>
                <w:sz w:val="16"/>
              </w:rPr>
              <w:t>equipment</w:t>
            </w:r>
          </w:p>
        </w:tc>
        <w:tc>
          <w:tcPr>
            <w:tcW w:type="dxa" w:w="7992"/>
            <w:tcMar>
              <w:top w:w="70" w:type="dxa"/>
              <w:start w:w="90" w:type="dxa"/>
              <w:bottom w:w="70" w:type="dxa"/>
              <w:end w:w="90" w:type="dxa"/>
            </w:tcMar>
            <w:vAlign w:val="top"/>
          </w:tcPr>
          <w:p>
            <w:pPr>
              <w:spacing w:after="0" w:before="0"/>
            </w:pPr>
            <w:r/>
            <w:r>
              <w:rPr>
                <w:rFonts w:ascii="Aptos" w:hAnsi="Aptos"/>
                <w:b w:val="0"/>
                <w:color w:val="1D252C"/>
                <w:sz w:val="16"/>
              </w:rPr>
              <w:t>Ladder, specialized household equipment, device/tool where relevant.</w:t>
            </w:r>
          </w:p>
        </w:tc>
      </w:tr>
      <w:tr>
        <w:trPr>
          <w:cantSplit w:val="1"/>
        </w:trPr>
        <w:tc>
          <w:tcPr>
            <w:tcW w:type="dxa" w:w="2880"/>
            <w:shd w:fill="FAFBFC"/>
            <w:tcMar>
              <w:top w:w="70" w:type="dxa"/>
              <w:start w:w="90" w:type="dxa"/>
              <w:bottom w:w="70" w:type="dxa"/>
              <w:end w:w="90" w:type="dxa"/>
            </w:tcMar>
            <w:vAlign w:val="top"/>
          </w:tcPr>
          <w:p>
            <w:pPr>
              <w:spacing w:after="0" w:before="0"/>
            </w:pPr>
            <w:r/>
            <w:r>
              <w:rPr>
                <w:rFonts w:ascii="Aptos" w:hAnsi="Aptos"/>
                <w:b w:val="0"/>
                <w:color w:val="1D252C"/>
                <w:sz w:val="16"/>
              </w:rPr>
              <w:t>capacity self-report</w:t>
            </w:r>
          </w:p>
        </w:tc>
        <w:tc>
          <w:tcPr>
            <w:tcW w:type="dxa" w:w="7992"/>
            <w:shd w:fill="FAFBFC"/>
            <w:tcMar>
              <w:top w:w="70" w:type="dxa"/>
              <w:start w:w="90" w:type="dxa"/>
              <w:bottom w:w="70" w:type="dxa"/>
              <w:end w:w="90" w:type="dxa"/>
            </w:tcMar>
            <w:vAlign w:val="top"/>
          </w:tcPr>
          <w:p>
            <w:pPr>
              <w:spacing w:after="0" w:before="0"/>
            </w:pPr>
            <w:r/>
            <w:r>
              <w:rPr>
                <w:rFonts w:ascii="Aptos" w:hAnsi="Aptos"/>
                <w:b w:val="0"/>
                <w:color w:val="1D252C"/>
                <w:sz w:val="16"/>
              </w:rPr>
              <w:t>Authoritative human signal layered over predicted hours.</w:t>
            </w:r>
          </w:p>
        </w:tc>
      </w:tr>
    </w:tbl>
    <w:p>
      <w:pPr>
        <w:spacing w:after="20"/>
      </w:pPr>
    </w:p>
    <w:p>
      <w:pPr>
        <w:pStyle w:val="Heading2"/>
        <w:spacing w:before="140" w:after="80"/>
        <w:keepNext w:val="1"/>
      </w:pPr>
      <w:r>
        <w:t>6.3 Continuity cost</w:t>
      </w:r>
    </w:p>
    <w:p>
      <w:pPr>
        <w:spacing w:after="100" w:line="250" w:lineRule="auto"/>
      </w:pPr>
      <w:r>
        <w:rPr>
          <w:rFonts w:ascii="Aptos" w:hAnsi="Aptos"/>
          <w:i w:val="0"/>
        </w:rPr>
        <w:t>Generic dispatch tools often prefer the closest qualified resource. Well Kept should explicitly value continuity because household knowledge reduces setup, decision and trust costs. Store preferred/required/excluded resource relationships and an established-backup flag. A later recommendation engine should be able to explain when it proposes breaking continuity and what benefit justified it.</w:t>
      </w:r>
    </w:p>
    <w:p>
      <w:pPr>
        <w:pStyle w:val="Heading2"/>
        <w:spacing w:before="140" w:after="80"/>
        <w:keepNext w:val="1"/>
      </w:pPr>
      <w:r>
        <w:t>6.4 Micro-window sequencing</w:t>
      </w:r>
    </w:p>
    <w:p>
      <w:pPr>
        <w:spacing w:after="100" w:line="250" w:lineRule="auto"/>
      </w:pPr>
      <w:r>
        <w:rPr>
          <w:rFonts w:ascii="Aptos" w:hAnsi="Aptos"/>
          <w:i w:val="0"/>
        </w:rPr>
        <w:t>The creator/app research and the existing Visit Method Efficiency Standard converge on a valuable near-term feature: use machine or process dwell windows to recommend small, nearby, decision-ready tasks. Do not make this a speed game. The purpose is to avoid dead time and excess movement.</w:t>
      </w:r>
    </w:p>
    <w:p>
      <w:pPr>
        <w:spacing w:after="100" w:line="250" w:lineRule="auto"/>
      </w:pPr>
      <w:r>
        <w:rPr>
          <w:rFonts w:ascii="Aptos" w:hAnsi="Aptos"/>
          <w:i w:val="0"/>
        </w:rPr>
        <w:t>Eligibility for a micro-window suggestion should require: predicted fit within available window, same/nearby zone or compatible context, no unresolved member decision, no hard dependency violation, no risk of creating an unfinishable open loop, and a completion standard that can be met within the window.</w:t>
      </w:r>
    </w:p>
    <w:p>
      <w:pPr>
        <w:pStyle w:val="Heading1"/>
        <w:spacing w:before="200" w:after="80"/>
        <w:keepNext w:val="1"/>
      </w:pPr>
      <w:r>
        <w:t>7. Travel, access and environmental modifiers</w:t>
      </w:r>
    </w:p>
    <w:p>
      <w:pPr>
        <w:pStyle w:val="Heading2"/>
        <w:spacing w:before="140" w:after="80"/>
        <w:keepNext w:val="1"/>
      </w:pPr>
      <w:r>
        <w:t>7.1 Travel and access are separate</w:t>
      </w:r>
    </w:p>
    <w:p>
      <w:pPr>
        <w:spacing w:after="100" w:line="250" w:lineRule="auto"/>
      </w:pPr>
      <w:r>
        <w:rPr>
          <w:rFonts w:ascii="Aptos" w:hAnsi="Aptos"/>
          <w:i w:val="0"/>
        </w:rPr>
        <w:t>Google Routes can provide traffic-aware driving duration and route matrices, including current traffic and future departure-time calculations. Well Kept should store route travel separately from property access overhead. The Playbook already captures gates, parking, elevators and building/front-desk patterns that explain the difference between curb arrival and productive household work.</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3744"/>
            <w:shd w:fill="17324D"/>
            <w:tcMar>
              <w:top w:w="70" w:type="dxa"/>
              <w:start w:w="90" w:type="dxa"/>
              <w:bottom w:w="70" w:type="dxa"/>
              <w:end w:w="90" w:type="dxa"/>
            </w:tcMar>
            <w:vAlign w:val="center"/>
          </w:tcPr>
          <w:p>
            <w:pPr>
              <w:spacing w:after="0" w:before="0"/>
            </w:pPr>
            <w:r/>
            <w:r>
              <w:rPr>
                <w:rFonts w:ascii="Aptos" w:hAnsi="Aptos"/>
                <w:b/>
                <w:color w:val="FFFFFF"/>
                <w:sz w:val="16"/>
              </w:rPr>
              <w:t>Travel component</w:t>
            </w:r>
          </w:p>
        </w:tc>
        <w:tc>
          <w:tcPr>
            <w:tcW w:type="dxa" w:w="7128"/>
            <w:shd w:fill="17324D"/>
            <w:tcMar>
              <w:top w:w="70" w:type="dxa"/>
              <w:start w:w="90" w:type="dxa"/>
              <w:bottom w:w="70" w:type="dxa"/>
              <w:end w:w="90" w:type="dxa"/>
            </w:tcMar>
            <w:vAlign w:val="center"/>
          </w:tcPr>
          <w:p>
            <w:pPr>
              <w:spacing w:after="0" w:before="0"/>
            </w:pPr>
            <w:r/>
            <w:r>
              <w:rPr>
                <w:rFonts w:ascii="Aptos" w:hAnsi="Aptos"/>
                <w:b/>
                <w:color w:val="FFFFFF"/>
                <w:sz w:val="16"/>
              </w:rPr>
              <w:t>Source</w:t>
            </w:r>
          </w:p>
        </w:tc>
      </w:tr>
      <w:tr>
        <w:trPr>
          <w:cantSplit w:val="1"/>
        </w:trPr>
        <w:tc>
          <w:tcPr>
            <w:tcW w:type="dxa" w:w="3744"/>
            <w:tcMar>
              <w:top w:w="70" w:type="dxa"/>
              <w:start w:w="90" w:type="dxa"/>
              <w:bottom w:w="70" w:type="dxa"/>
              <w:end w:w="90" w:type="dxa"/>
            </w:tcMar>
            <w:vAlign w:val="top"/>
          </w:tcPr>
          <w:p>
            <w:pPr>
              <w:spacing w:after="0" w:before="0"/>
            </w:pPr>
            <w:r/>
            <w:r>
              <w:rPr>
                <w:rFonts w:ascii="Aptos" w:hAnsi="Aptos"/>
                <w:b w:val="0"/>
                <w:color w:val="1D252C"/>
                <w:sz w:val="16"/>
              </w:rPr>
              <w:t>drive_static</w:t>
            </w:r>
          </w:p>
        </w:tc>
        <w:tc>
          <w:tcPr>
            <w:tcW w:type="dxa" w:w="7128"/>
            <w:tcMar>
              <w:top w:w="70" w:type="dxa"/>
              <w:start w:w="90" w:type="dxa"/>
              <w:bottom w:w="70" w:type="dxa"/>
              <w:end w:w="90" w:type="dxa"/>
            </w:tcMar>
            <w:vAlign w:val="top"/>
          </w:tcPr>
          <w:p>
            <w:pPr>
              <w:spacing w:after="0" w:before="0"/>
            </w:pPr>
            <w:r/>
            <w:r>
              <w:rPr>
                <w:rFonts w:ascii="Aptos" w:hAnsi="Aptos"/>
                <w:b w:val="0"/>
                <w:color w:val="1D252C"/>
                <w:sz w:val="16"/>
              </w:rPr>
              <w:t>Historical/non-live route estimate where appropriate</w:t>
            </w:r>
          </w:p>
        </w:tc>
      </w:tr>
      <w:tr>
        <w:trPr>
          <w:cantSplit w:val="1"/>
        </w:trPr>
        <w:tc>
          <w:tcPr>
            <w:tcW w:type="dxa" w:w="3744"/>
            <w:shd w:fill="FAFBFC"/>
            <w:tcMar>
              <w:top w:w="70" w:type="dxa"/>
              <w:start w:w="90" w:type="dxa"/>
              <w:bottom w:w="70" w:type="dxa"/>
              <w:end w:w="90" w:type="dxa"/>
            </w:tcMar>
            <w:vAlign w:val="top"/>
          </w:tcPr>
          <w:p>
            <w:pPr>
              <w:spacing w:after="0" w:before="0"/>
            </w:pPr>
            <w:r/>
            <w:r>
              <w:rPr>
                <w:rFonts w:ascii="Aptos" w:hAnsi="Aptos"/>
                <w:b w:val="0"/>
                <w:color w:val="1D252C"/>
                <w:sz w:val="16"/>
              </w:rPr>
              <w:t>drive_traffic_aware</w:t>
            </w:r>
          </w:p>
        </w:tc>
        <w:tc>
          <w:tcPr>
            <w:tcW w:type="dxa" w:w="7128"/>
            <w:shd w:fill="FAFBFC"/>
            <w:tcMar>
              <w:top w:w="70" w:type="dxa"/>
              <w:start w:w="90" w:type="dxa"/>
              <w:bottom w:w="70" w:type="dxa"/>
              <w:end w:w="90" w:type="dxa"/>
            </w:tcMar>
            <w:vAlign w:val="top"/>
          </w:tcPr>
          <w:p>
            <w:pPr>
              <w:spacing w:after="0" w:before="0"/>
            </w:pPr>
            <w:r/>
            <w:r>
              <w:rPr>
                <w:rFonts w:ascii="Aptos" w:hAnsi="Aptos"/>
                <w:b w:val="0"/>
                <w:color w:val="1D252C"/>
                <w:sz w:val="16"/>
              </w:rPr>
              <w:t>Traffic-aware route estimate for planning or day-of support</w:t>
            </w:r>
          </w:p>
        </w:tc>
      </w:tr>
      <w:tr>
        <w:trPr>
          <w:cantSplit w:val="1"/>
        </w:trPr>
        <w:tc>
          <w:tcPr>
            <w:tcW w:type="dxa" w:w="3744"/>
            <w:tcMar>
              <w:top w:w="70" w:type="dxa"/>
              <w:start w:w="90" w:type="dxa"/>
              <w:bottom w:w="70" w:type="dxa"/>
              <w:end w:w="90" w:type="dxa"/>
            </w:tcMar>
            <w:vAlign w:val="top"/>
          </w:tcPr>
          <w:p>
            <w:pPr>
              <w:spacing w:after="0" w:before="0"/>
            </w:pPr>
            <w:r/>
            <w:r>
              <w:rPr>
                <w:rFonts w:ascii="Aptos" w:hAnsi="Aptos"/>
                <w:b w:val="0"/>
                <w:color w:val="1D252C"/>
                <w:sz w:val="16"/>
              </w:rPr>
              <w:t>parking/gate/front-desk/elevator</w:t>
            </w:r>
          </w:p>
        </w:tc>
        <w:tc>
          <w:tcPr>
            <w:tcW w:type="dxa" w:w="7128"/>
            <w:tcMar>
              <w:top w:w="70" w:type="dxa"/>
              <w:start w:w="90" w:type="dxa"/>
              <w:bottom w:w="70" w:type="dxa"/>
              <w:end w:w="90" w:type="dxa"/>
            </w:tcMar>
            <w:vAlign w:val="top"/>
          </w:tcPr>
          <w:p>
            <w:pPr>
              <w:spacing w:after="0" w:before="0"/>
            </w:pPr>
            <w:r/>
            <w:r>
              <w:rPr>
                <w:rFonts w:ascii="Aptos" w:hAnsi="Aptos"/>
                <w:b w:val="0"/>
                <w:color w:val="1D252C"/>
                <w:sz w:val="16"/>
              </w:rPr>
              <w:t>Household access profile learned from actuals</w:t>
            </w:r>
          </w:p>
        </w:tc>
      </w:tr>
      <w:tr>
        <w:trPr>
          <w:cantSplit w:val="1"/>
        </w:trPr>
        <w:tc>
          <w:tcPr>
            <w:tcW w:type="dxa" w:w="3744"/>
            <w:shd w:fill="FAFBFC"/>
            <w:tcMar>
              <w:top w:w="70" w:type="dxa"/>
              <w:start w:w="90" w:type="dxa"/>
              <w:bottom w:w="70" w:type="dxa"/>
              <w:end w:w="90" w:type="dxa"/>
            </w:tcMar>
            <w:vAlign w:val="top"/>
          </w:tcPr>
          <w:p>
            <w:pPr>
              <w:spacing w:after="0" w:before="0"/>
            </w:pPr>
            <w:r/>
            <w:r>
              <w:rPr>
                <w:rFonts w:ascii="Aptos" w:hAnsi="Aptos"/>
                <w:b w:val="0"/>
                <w:color w:val="1D252C"/>
                <w:sz w:val="16"/>
              </w:rPr>
              <w:t>load/unload or supply handling</w:t>
            </w:r>
          </w:p>
        </w:tc>
        <w:tc>
          <w:tcPr>
            <w:tcW w:type="dxa" w:w="7128"/>
            <w:shd w:fill="FAFBFC"/>
            <w:tcMar>
              <w:top w:w="70" w:type="dxa"/>
              <w:start w:w="90" w:type="dxa"/>
              <w:bottom w:w="70" w:type="dxa"/>
              <w:end w:w="90" w:type="dxa"/>
            </w:tcMar>
            <w:vAlign w:val="top"/>
          </w:tcPr>
          <w:p>
            <w:pPr>
              <w:spacing w:after="0" w:before="0"/>
            </w:pPr>
            <w:r/>
            <w:r>
              <w:rPr>
                <w:rFonts w:ascii="Aptos" w:hAnsi="Aptos"/>
                <w:b w:val="0"/>
                <w:color w:val="1D252C"/>
                <w:sz w:val="16"/>
              </w:rPr>
              <w:t>Occurrence actuals where applicable</w:t>
            </w:r>
          </w:p>
        </w:tc>
      </w:tr>
      <w:tr>
        <w:trPr>
          <w:cantSplit w:val="1"/>
        </w:trPr>
        <w:tc>
          <w:tcPr>
            <w:tcW w:type="dxa" w:w="3744"/>
            <w:tcMar>
              <w:top w:w="70" w:type="dxa"/>
              <w:start w:w="90" w:type="dxa"/>
              <w:bottom w:w="70" w:type="dxa"/>
              <w:end w:w="90" w:type="dxa"/>
            </w:tcMar>
            <w:vAlign w:val="top"/>
          </w:tcPr>
          <w:p>
            <w:pPr>
              <w:spacing w:after="0" w:before="0"/>
            </w:pPr>
            <w:r/>
            <w:r>
              <w:rPr>
                <w:rFonts w:ascii="Aptos" w:hAnsi="Aptos"/>
                <w:b w:val="0"/>
                <w:color w:val="1D252C"/>
                <w:sz w:val="16"/>
              </w:rPr>
              <w:t>protected travel allocation</w:t>
            </w:r>
          </w:p>
        </w:tc>
        <w:tc>
          <w:tcPr>
            <w:tcW w:type="dxa" w:w="7128"/>
            <w:tcMar>
              <w:top w:w="70" w:type="dxa"/>
              <w:start w:w="90" w:type="dxa"/>
              <w:bottom w:w="70" w:type="dxa"/>
              <w:end w:w="90" w:type="dxa"/>
            </w:tcMar>
            <w:vAlign w:val="top"/>
          </w:tcPr>
          <w:p>
            <w:pPr>
              <w:spacing w:after="0" w:before="0"/>
            </w:pPr>
            <w:r/>
            <w:r>
              <w:rPr>
                <w:rFonts w:ascii="Aptos" w:hAnsi="Aptos"/>
                <w:b w:val="0"/>
                <w:color w:val="1D252C"/>
                <w:sz w:val="16"/>
              </w:rPr>
              <w:t>Derived planning buffer based on route variability and access history</w:t>
            </w:r>
          </w:p>
        </w:tc>
      </w:tr>
    </w:tbl>
    <w:p>
      <w:pPr>
        <w:spacing w:after="20"/>
      </w:pPr>
    </w:p>
    <w:p>
      <w:pPr>
        <w:pStyle w:val="Heading2"/>
        <w:spacing w:before="140" w:after="80"/>
        <w:keepNext w:val="1"/>
      </w:pPr>
      <w:r>
        <w:t>7.2 Optional on-site geometry, not public parcel/deed enrichment</w:t>
      </w:r>
    </w:p>
    <w:p>
      <w:pPr>
        <w:spacing w:after="100" w:line="250" w:lineRule="auto"/>
      </w:pPr>
      <w:r>
        <w:rPr>
          <w:rFonts w:ascii="Aptos" w:hAnsi="Aptos"/>
          <w:i w:val="0"/>
        </w:rPr>
        <w:t>Earlier research in the thread considered public property characteristics. The current library authority includes parcel/deed research prohibitions, so that should not become a software ingestion path. If geometry is needed for workload modeling, use member-declared data, HOM observation, or an explicitly consented on-site scan.</w:t>
      </w:r>
    </w:p>
    <w:p>
      <w:pPr>
        <w:spacing w:after="100" w:line="250" w:lineRule="auto"/>
      </w:pPr>
      <w:r>
        <w:rPr>
          <w:rFonts w:ascii="Aptos" w:hAnsi="Aptos"/>
          <w:i w:val="0"/>
        </w:rPr>
        <w:t>Apple RoomPlan can generate room dimensions and recognize structural/furniture categories on supported devices. If evaluated later, process the scan locally where practical and store derived operational features such as floor count, zone adjacency, distance bands or cleanable-area categories rather than retaining a detailed 3D model unless a validated product need and consent justify it.</w:t>
      </w:r>
    </w:p>
    <w:p>
      <w:pPr>
        <w:pStyle w:val="Heading2"/>
        <w:spacing w:before="140" w:after="80"/>
        <w:keepNext w:val="1"/>
      </w:pPr>
      <w:r>
        <w:t>7.3 Public environmental feeds</w:t>
      </w:r>
    </w:p>
    <w:p>
      <w:pPr>
        <w:spacing w:after="100" w:line="250" w:lineRule="auto"/>
      </w:pPr>
      <w:r>
        <w:rPr>
          <w:rFonts w:ascii="Aptos" w:hAnsi="Aptos"/>
          <w:i w:val="0"/>
        </w:rPr>
        <w:t>The current backend spec already contemplates school calendars, freeze/storm warnings, leaf collection and holiday trash changes. Expand this into a controlled external-clock layer with provenance, scope and refresh state. External data should activate or reprioritize internal work, not message clients automatically.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016"/>
            <w:shd w:fill="17324D"/>
            <w:tcMar>
              <w:top w:w="70" w:type="dxa"/>
              <w:start w:w="90" w:type="dxa"/>
              <w:bottom w:w="70" w:type="dxa"/>
              <w:end w:w="90" w:type="dxa"/>
            </w:tcMar>
            <w:vAlign w:val="center"/>
          </w:tcPr>
          <w:p>
            <w:pPr>
              <w:spacing w:after="0" w:before="0"/>
            </w:pPr>
            <w:r/>
            <w:r>
              <w:rPr>
                <w:rFonts w:ascii="Aptos" w:hAnsi="Aptos"/>
                <w:b/>
                <w:color w:val="FFFFFF"/>
                <w:sz w:val="16"/>
              </w:rPr>
              <w:t>Feed class</w:t>
            </w:r>
          </w:p>
        </w:tc>
        <w:tc>
          <w:tcPr>
            <w:tcW w:type="dxa" w:w="3888"/>
            <w:shd w:fill="17324D"/>
            <w:tcMar>
              <w:top w:w="70" w:type="dxa"/>
              <w:start w:w="90" w:type="dxa"/>
              <w:bottom w:w="70" w:type="dxa"/>
              <w:end w:w="90" w:type="dxa"/>
            </w:tcMar>
            <w:vAlign w:val="center"/>
          </w:tcPr>
          <w:p>
            <w:pPr>
              <w:spacing w:after="0" w:before="0"/>
            </w:pPr>
            <w:r/>
            <w:r>
              <w:rPr>
                <w:rFonts w:ascii="Aptos" w:hAnsi="Aptos"/>
                <w:b/>
                <w:color w:val="FFFFFF"/>
                <w:sz w:val="16"/>
              </w:rPr>
              <w:t>Examples</w:t>
            </w:r>
          </w:p>
        </w:tc>
        <w:tc>
          <w:tcPr>
            <w:tcW w:type="dxa" w:w="4968"/>
            <w:shd w:fill="17324D"/>
            <w:tcMar>
              <w:top w:w="70" w:type="dxa"/>
              <w:start w:w="90" w:type="dxa"/>
              <w:bottom w:w="70" w:type="dxa"/>
              <w:end w:w="90" w:type="dxa"/>
            </w:tcMar>
            <w:vAlign w:val="center"/>
          </w:tcPr>
          <w:p>
            <w:pPr>
              <w:spacing w:after="0" w:before="0"/>
            </w:pPr>
            <w:r/>
            <w:r>
              <w:rPr>
                <w:rFonts w:ascii="Aptos" w:hAnsi="Aptos"/>
                <w:b/>
                <w:color w:val="FFFFFF"/>
                <w:sz w:val="16"/>
              </w:rPr>
              <w:t>How to use</w:t>
            </w:r>
          </w:p>
        </w:tc>
      </w:tr>
      <w:tr>
        <w:trPr>
          <w:cantSplit w:val="1"/>
        </w:trPr>
        <w:tc>
          <w:tcPr>
            <w:tcW w:type="dxa" w:w="2016"/>
            <w:tcMar>
              <w:top w:w="70" w:type="dxa"/>
              <w:start w:w="90" w:type="dxa"/>
              <w:bottom w:w="70" w:type="dxa"/>
              <w:end w:w="90" w:type="dxa"/>
            </w:tcMar>
            <w:vAlign w:val="top"/>
          </w:tcPr>
          <w:p>
            <w:pPr>
              <w:spacing w:after="0" w:before="0"/>
            </w:pPr>
            <w:r/>
            <w:r>
              <w:rPr>
                <w:rFonts w:ascii="Aptos" w:hAnsi="Aptos"/>
                <w:b w:val="0"/>
                <w:color w:val="1D252C"/>
                <w:sz w:val="16"/>
              </w:rPr>
              <w:t>Weather</w:t>
            </w:r>
          </w:p>
        </w:tc>
        <w:tc>
          <w:tcPr>
            <w:tcW w:type="dxa" w:w="3888"/>
            <w:tcMar>
              <w:top w:w="70" w:type="dxa"/>
              <w:start w:w="90" w:type="dxa"/>
              <w:bottom w:w="70" w:type="dxa"/>
              <w:end w:w="90" w:type="dxa"/>
            </w:tcMar>
            <w:vAlign w:val="top"/>
          </w:tcPr>
          <w:p>
            <w:pPr>
              <w:spacing w:after="0" w:before="0"/>
            </w:pPr>
            <w:r/>
            <w:r>
              <w:rPr>
                <w:rFonts w:ascii="Aptos" w:hAnsi="Aptos"/>
                <w:b w:val="0"/>
                <w:color w:val="1D252C"/>
                <w:sz w:val="16"/>
              </w:rPr>
              <w:t>NWS forecasts/alerts, NOAA normals</w:t>
            </w:r>
          </w:p>
        </w:tc>
        <w:tc>
          <w:tcPr>
            <w:tcW w:type="dxa" w:w="4968"/>
            <w:tcMar>
              <w:top w:w="70" w:type="dxa"/>
              <w:start w:w="90" w:type="dxa"/>
              <w:bottom w:w="70" w:type="dxa"/>
              <w:end w:w="90" w:type="dxa"/>
            </w:tcMar>
            <w:vAlign w:val="top"/>
          </w:tcPr>
          <w:p>
            <w:pPr>
              <w:spacing w:after="0" w:before="0"/>
            </w:pPr>
            <w:r/>
            <w:r>
              <w:rPr>
                <w:rFonts w:ascii="Aptos" w:hAnsi="Aptos"/>
                <w:b w:val="0"/>
                <w:color w:val="1D252C"/>
                <w:sz w:val="16"/>
              </w:rPr>
              <w:t>Condition triggers, seasonal priors, freeze/storm workload.</w:t>
            </w:r>
          </w:p>
        </w:tc>
      </w:tr>
      <w:tr>
        <w:trPr>
          <w:cantSplit w:val="1"/>
        </w:trPr>
        <w:tc>
          <w:tcPr>
            <w:tcW w:type="dxa" w:w="2016"/>
            <w:shd w:fill="FAFBFC"/>
            <w:tcMar>
              <w:top w:w="70" w:type="dxa"/>
              <w:start w:w="90" w:type="dxa"/>
              <w:bottom w:w="70" w:type="dxa"/>
              <w:end w:w="90" w:type="dxa"/>
            </w:tcMar>
            <w:vAlign w:val="top"/>
          </w:tcPr>
          <w:p>
            <w:pPr>
              <w:spacing w:after="0" w:before="0"/>
            </w:pPr>
            <w:r/>
            <w:r>
              <w:rPr>
                <w:rFonts w:ascii="Aptos" w:hAnsi="Aptos"/>
                <w:b w:val="0"/>
                <w:color w:val="1D252C"/>
                <w:sz w:val="16"/>
              </w:rPr>
              <w:t>School/calendar</w:t>
            </w:r>
          </w:p>
        </w:tc>
        <w:tc>
          <w:tcPr>
            <w:tcW w:type="dxa" w:w="3888"/>
            <w:shd w:fill="FAFBFC"/>
            <w:tcMar>
              <w:top w:w="70" w:type="dxa"/>
              <w:start w:w="90" w:type="dxa"/>
              <w:bottom w:w="70" w:type="dxa"/>
              <w:end w:w="90" w:type="dxa"/>
            </w:tcMar>
            <w:vAlign w:val="top"/>
          </w:tcPr>
          <w:p>
            <w:pPr>
              <w:spacing w:after="0" w:before="0"/>
            </w:pPr>
            <w:r/>
            <w:r>
              <w:rPr>
                <w:rFonts w:ascii="Aptos" w:hAnsi="Aptos"/>
                <w:b w:val="0"/>
                <w:color w:val="1D252C"/>
                <w:sz w:val="16"/>
              </w:rPr>
              <w:t>FCPS and other district calendars</w:t>
            </w:r>
          </w:p>
        </w:tc>
        <w:tc>
          <w:tcPr>
            <w:tcW w:type="dxa" w:w="4968"/>
            <w:shd w:fill="FAFBFC"/>
            <w:tcMar>
              <w:top w:w="70" w:type="dxa"/>
              <w:start w:w="90" w:type="dxa"/>
              <w:bottom w:w="70" w:type="dxa"/>
              <w:end w:w="90" w:type="dxa"/>
            </w:tcMar>
            <w:vAlign w:val="top"/>
          </w:tcPr>
          <w:p>
            <w:pPr>
              <w:spacing w:after="0" w:before="0"/>
            </w:pPr>
            <w:r/>
            <w:r>
              <w:rPr>
                <w:rFonts w:ascii="Aptos" w:hAnsi="Aptos"/>
                <w:b w:val="0"/>
                <w:color w:val="1D252C"/>
                <w:sz w:val="16"/>
              </w:rPr>
              <w:t>No-school days, breaks, return-to-school workload and household-presence modifiers.</w:t>
            </w:r>
          </w:p>
        </w:tc>
      </w:tr>
      <w:tr>
        <w:trPr>
          <w:cantSplit w:val="1"/>
        </w:trPr>
        <w:tc>
          <w:tcPr>
            <w:tcW w:type="dxa" w:w="2016"/>
            <w:tcMar>
              <w:top w:w="70" w:type="dxa"/>
              <w:start w:w="90" w:type="dxa"/>
              <w:bottom w:w="70" w:type="dxa"/>
              <w:end w:w="90" w:type="dxa"/>
            </w:tcMar>
            <w:vAlign w:val="top"/>
          </w:tcPr>
          <w:p>
            <w:pPr>
              <w:spacing w:after="0" w:before="0"/>
            </w:pPr>
            <w:r/>
            <w:r>
              <w:rPr>
                <w:rFonts w:ascii="Aptos" w:hAnsi="Aptos"/>
                <w:b w:val="0"/>
                <w:color w:val="1D252C"/>
                <w:sz w:val="16"/>
              </w:rPr>
              <w:t>Municipal</w:t>
            </w:r>
          </w:p>
        </w:tc>
        <w:tc>
          <w:tcPr>
            <w:tcW w:type="dxa" w:w="3888"/>
            <w:tcMar>
              <w:top w:w="70" w:type="dxa"/>
              <w:start w:w="90" w:type="dxa"/>
              <w:bottom w:w="70" w:type="dxa"/>
              <w:end w:w="90" w:type="dxa"/>
            </w:tcMar>
            <w:vAlign w:val="top"/>
          </w:tcPr>
          <w:p>
            <w:pPr>
              <w:spacing w:after="0" w:before="0"/>
            </w:pPr>
            <w:r/>
            <w:r>
              <w:rPr>
                <w:rFonts w:ascii="Aptos" w:hAnsi="Aptos"/>
                <w:b w:val="0"/>
                <w:color w:val="1D252C"/>
                <w:sz w:val="16"/>
              </w:rPr>
              <w:t>trash/recycling/leaf collection</w:t>
            </w:r>
          </w:p>
        </w:tc>
        <w:tc>
          <w:tcPr>
            <w:tcW w:type="dxa" w:w="4968"/>
            <w:tcMar>
              <w:top w:w="70" w:type="dxa"/>
              <w:start w:w="90" w:type="dxa"/>
              <w:bottom w:w="70" w:type="dxa"/>
              <w:end w:w="90" w:type="dxa"/>
            </w:tcMar>
            <w:vAlign w:val="top"/>
          </w:tcPr>
          <w:p>
            <w:pPr>
              <w:spacing w:after="0" w:before="0"/>
            </w:pPr>
            <w:r/>
            <w:r>
              <w:rPr>
                <w:rFonts w:ascii="Aptos" w:hAnsi="Aptos"/>
                <w:b w:val="0"/>
                <w:color w:val="1D252C"/>
                <w:sz w:val="16"/>
              </w:rPr>
              <w:t>Date shifts and seasonal collection tasks.</w:t>
            </w:r>
          </w:p>
        </w:tc>
      </w:tr>
      <w:tr>
        <w:trPr>
          <w:cantSplit w:val="1"/>
        </w:trPr>
        <w:tc>
          <w:tcPr>
            <w:tcW w:type="dxa" w:w="2016"/>
            <w:shd w:fill="FAFBFC"/>
            <w:tcMar>
              <w:top w:w="70" w:type="dxa"/>
              <w:start w:w="90" w:type="dxa"/>
              <w:bottom w:w="70" w:type="dxa"/>
              <w:end w:w="90" w:type="dxa"/>
            </w:tcMar>
            <w:vAlign w:val="top"/>
          </w:tcPr>
          <w:p>
            <w:pPr>
              <w:spacing w:after="0" w:before="0"/>
            </w:pPr>
            <w:r/>
            <w:r>
              <w:rPr>
                <w:rFonts w:ascii="Aptos" w:hAnsi="Aptos"/>
                <w:b w:val="0"/>
                <w:color w:val="1D252C"/>
                <w:sz w:val="16"/>
              </w:rPr>
              <w:t>Asset/manufacturer</w:t>
            </w:r>
          </w:p>
        </w:tc>
        <w:tc>
          <w:tcPr>
            <w:tcW w:type="dxa" w:w="3888"/>
            <w:shd w:fill="FAFBFC"/>
            <w:tcMar>
              <w:top w:w="70" w:type="dxa"/>
              <w:start w:w="90" w:type="dxa"/>
              <w:bottom w:w="70" w:type="dxa"/>
              <w:end w:w="90" w:type="dxa"/>
            </w:tcMar>
            <w:vAlign w:val="top"/>
          </w:tcPr>
          <w:p>
            <w:pPr>
              <w:spacing w:after="0" w:before="0"/>
            </w:pPr>
            <w:r/>
            <w:r>
              <w:rPr>
                <w:rFonts w:ascii="Aptos" w:hAnsi="Aptos"/>
                <w:b w:val="0"/>
                <w:color w:val="1D252C"/>
                <w:sz w:val="16"/>
              </w:rPr>
              <w:t>washer/dishwasher/generator manuals</w:t>
            </w:r>
          </w:p>
        </w:tc>
        <w:tc>
          <w:tcPr>
            <w:tcW w:type="dxa" w:w="4968"/>
            <w:shd w:fill="FAFBFC"/>
            <w:tcMar>
              <w:top w:w="70" w:type="dxa"/>
              <w:start w:w="90" w:type="dxa"/>
              <w:bottom w:w="70" w:type="dxa"/>
              <w:end w:w="90" w:type="dxa"/>
            </w:tcMar>
            <w:vAlign w:val="top"/>
          </w:tcPr>
          <w:p>
            <w:pPr>
              <w:spacing w:after="0" w:before="0"/>
            </w:pPr>
            <w:r/>
            <w:r>
              <w:rPr>
                <w:rFonts w:ascii="Aptos" w:hAnsi="Aptos"/>
                <w:b w:val="0"/>
                <w:color w:val="1D252C"/>
                <w:sz w:val="16"/>
              </w:rPr>
              <w:t>Machine dwell and model-specific maintenance clocks.</w:t>
            </w:r>
          </w:p>
        </w:tc>
      </w:tr>
      <w:tr>
        <w:trPr>
          <w:cantSplit w:val="1"/>
        </w:trPr>
        <w:tc>
          <w:tcPr>
            <w:tcW w:type="dxa" w:w="2016"/>
            <w:tcMar>
              <w:top w:w="70" w:type="dxa"/>
              <w:start w:w="90" w:type="dxa"/>
              <w:bottom w:w="70" w:type="dxa"/>
              <w:end w:w="90" w:type="dxa"/>
            </w:tcMar>
            <w:vAlign w:val="top"/>
          </w:tcPr>
          <w:p>
            <w:pPr>
              <w:spacing w:after="0" w:before="0"/>
            </w:pPr>
            <w:r/>
            <w:r>
              <w:rPr>
                <w:rFonts w:ascii="Aptos" w:hAnsi="Aptos"/>
                <w:b w:val="0"/>
                <w:color w:val="1D252C"/>
                <w:sz w:val="16"/>
              </w:rPr>
              <w:t>Government/professional clocks</w:t>
            </w:r>
          </w:p>
        </w:tc>
        <w:tc>
          <w:tcPr>
            <w:tcW w:type="dxa" w:w="3888"/>
            <w:tcMar>
              <w:top w:w="70" w:type="dxa"/>
              <w:start w:w="90" w:type="dxa"/>
              <w:bottom w:w="70" w:type="dxa"/>
              <w:end w:w="90" w:type="dxa"/>
            </w:tcMar>
            <w:vAlign w:val="top"/>
          </w:tcPr>
          <w:p>
            <w:pPr>
              <w:spacing w:after="0" w:before="0"/>
            </w:pPr>
            <w:r/>
            <w:r>
              <w:rPr>
                <w:rFonts w:ascii="Aptos" w:hAnsi="Aptos"/>
                <w:b w:val="0"/>
                <w:color w:val="1D252C"/>
                <w:sz w:val="16"/>
              </w:rPr>
              <w:t>passport, recalls, benefits, IDEA, FAFSA, pet travel, safety</w:t>
            </w:r>
          </w:p>
        </w:tc>
        <w:tc>
          <w:tcPr>
            <w:tcW w:type="dxa" w:w="4968"/>
            <w:tcMar>
              <w:top w:w="70" w:type="dxa"/>
              <w:start w:w="90" w:type="dxa"/>
              <w:bottom w:w="70" w:type="dxa"/>
              <w:end w:w="90" w:type="dxa"/>
            </w:tcMar>
            <w:vAlign w:val="top"/>
          </w:tcPr>
          <w:p>
            <w:pPr>
              <w:spacing w:after="0" w:before="0"/>
            </w:pPr>
            <w:r/>
            <w:r>
              <w:rPr>
                <w:rFonts w:ascii="Aptos" w:hAnsi="Aptos"/>
                <w:b w:val="0"/>
                <w:color w:val="1D252C"/>
                <w:sz w:val="16"/>
              </w:rPr>
              <w:t>Deadline/lead-time and required-payload logic with jurisdiction/profile scoping.</w:t>
            </w:r>
          </w:p>
        </w:tc>
      </w:tr>
    </w:tbl>
    <w:p>
      <w:pPr>
        <w:spacing w:after="20"/>
      </w:pPr>
    </w:p>
    <w:p>
      <w:pPr>
        <w:pStyle w:val="Heading1"/>
        <w:spacing w:before="200" w:after="80"/>
        <w:keepNext w:val="1"/>
      </w:pPr>
      <w:r>
        <w:t>8. What to learn from the external companies and creators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2232"/>
            <w:shd w:fill="17324D"/>
            <w:tcMar>
              <w:top w:w="70" w:type="dxa"/>
              <w:start w:w="90" w:type="dxa"/>
              <w:bottom w:w="70" w:type="dxa"/>
              <w:end w:w="90" w:type="dxa"/>
            </w:tcMar>
            <w:vAlign w:val="center"/>
          </w:tcPr>
          <w:p>
            <w:pPr>
              <w:spacing w:after="0" w:before="0"/>
            </w:pPr>
            <w:r/>
            <w:r>
              <w:rPr>
                <w:rFonts w:ascii="Aptos" w:hAnsi="Aptos"/>
                <w:b/>
                <w:color w:val="FFFFFF"/>
                <w:sz w:val="16"/>
              </w:rPr>
              <w:t>Source/pattern</w:t>
            </w:r>
          </w:p>
        </w:tc>
        <w:tc>
          <w:tcPr>
            <w:tcW w:type="dxa" w:w="4392"/>
            <w:shd w:fill="17324D"/>
            <w:tcMar>
              <w:top w:w="70" w:type="dxa"/>
              <w:start w:w="90" w:type="dxa"/>
              <w:bottom w:w="70" w:type="dxa"/>
              <w:end w:w="90" w:type="dxa"/>
            </w:tcMar>
            <w:vAlign w:val="center"/>
          </w:tcPr>
          <w:p>
            <w:pPr>
              <w:spacing w:after="0" w:before="0"/>
            </w:pPr>
            <w:r/>
            <w:r>
              <w:rPr>
                <w:rFonts w:ascii="Aptos" w:hAnsi="Aptos"/>
                <w:b/>
                <w:color w:val="FFFFFF"/>
                <w:sz w:val="16"/>
              </w:rPr>
              <w:t>Copy the principle</w:t>
            </w:r>
          </w:p>
        </w:tc>
        <w:tc>
          <w:tcPr>
            <w:tcW w:type="dxa" w:w="4320"/>
            <w:shd w:fill="17324D"/>
            <w:tcMar>
              <w:top w:w="70" w:type="dxa"/>
              <w:start w:w="90" w:type="dxa"/>
              <w:bottom w:w="70" w:type="dxa"/>
              <w:end w:w="90" w:type="dxa"/>
            </w:tcMar>
            <w:vAlign w:val="center"/>
          </w:tcPr>
          <w:p>
            <w:pPr>
              <w:spacing w:after="0" w:before="0"/>
            </w:pPr>
            <w:r/>
            <w:r>
              <w:rPr>
                <w:rFonts w:ascii="Aptos" w:hAnsi="Aptos"/>
                <w:b/>
                <w:color w:val="FFFFFF"/>
                <w:sz w:val="16"/>
              </w:rPr>
              <w:t>Do not copy</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Christi Newrutzen / Clutterbug</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Predicted versus actual timing, exact task boundary, observed finish line, variance capture</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A creator's number as a universal productivity standard</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Anna Louisa / Clean Mama / Home Routines</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Micro-windows, short contextual task chunks, calm completion</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Arbitrary five- or ten-minute SLA</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Sweepy</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Effort separate from duration; daily capacity as a constraint</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Gamified leaderboards for HOMs</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Tody</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Dueness rather than every task pinned to a rigid date; household-specific frequency</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Generic frequency silently overriding Playbook</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HomeZada</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Asset/property-specific maintenance history, reminders, weather-context maintenance</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Unreviewed AI advice or unnecessary property data</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Toggl</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Estimate-versus-actual feedback and forward forecasting</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Continuous stopwatch burden</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Lean standardized work</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Separate hand/active, walk/movement and machine/process time; improve method</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Factory takt-time culture or rushing</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ISSA</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Structured workloading priors with task/tool/scope context</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Treating benchmark times as employee quotas</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Oracle Field Service</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Fallback hierarchy, recency-weighted learning, sample/statistics visibility</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Unnormalized personal speed scoring</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Microsoft Dynamics</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Requirement object, resource types, time windows, skills, territories, preferences</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Heavy enterprise entity complexity unrelated to WK</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Salesforce</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Hard work rules then weighted objectives; preferred resources</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Autonomous optimization before data quality is proven</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Skedulo</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Minimize disruption, balance workload, travel and priority as separate objectives</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Single objective such as least travel dominating household continuity</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ServiceTitan</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No zero durations, explicit capacity targets, shifts/skills/zones, reserve concepts</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Call-center booking assumptions or technician revenue leaderboards</w:t>
            </w:r>
          </w:p>
        </w:tc>
      </w:tr>
      <w:tr>
        <w:trPr>
          <w:cantSplit w:val="1"/>
        </w:trPr>
        <w:tc>
          <w:tcPr>
            <w:tcW w:type="dxa" w:w="2232"/>
            <w:shd w:fill="FAFBFC"/>
            <w:tcMar>
              <w:top w:w="70" w:type="dxa"/>
              <w:start w:w="90" w:type="dxa"/>
              <w:bottom w:w="70" w:type="dxa"/>
              <w:end w:w="90" w:type="dxa"/>
            </w:tcMar>
            <w:vAlign w:val="top"/>
          </w:tcPr>
          <w:p>
            <w:pPr>
              <w:spacing w:after="0" w:before="0"/>
            </w:pPr>
            <w:r/>
            <w:r>
              <w:rPr>
                <w:rFonts w:ascii="Aptos" w:hAnsi="Aptos"/>
                <w:b w:val="0"/>
                <w:color w:val="1D252C"/>
                <w:sz w:val="15"/>
              </w:rPr>
              <w:t>Jobber</w:t>
            </w:r>
          </w:p>
        </w:tc>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Low-friction actual time capture, offline timers, categories, audit history</w:t>
            </w:r>
          </w:p>
        </w:tc>
        <w:tc>
          <w:tcPr>
            <w:tcW w:type="dxa" w:w="4320"/>
            <w:shd w:fill="FAFBFC"/>
            <w:tcMar>
              <w:top w:w="70" w:type="dxa"/>
              <w:start w:w="90" w:type="dxa"/>
              <w:bottom w:w="70" w:type="dxa"/>
              <w:end w:w="90" w:type="dxa"/>
            </w:tcMar>
            <w:vAlign w:val="top"/>
          </w:tcPr>
          <w:p>
            <w:pPr>
              <w:spacing w:after="0" w:before="0"/>
            </w:pPr>
            <w:r/>
            <w:r>
              <w:rPr>
                <w:rFonts w:ascii="Aptos" w:hAnsi="Aptos"/>
                <w:b w:val="0"/>
                <w:color w:val="1D252C"/>
                <w:sz w:val="15"/>
              </w:rPr>
              <w:t>Continuous employee location tracking or auto-billing from geofence</w:t>
            </w:r>
          </w:p>
        </w:tc>
      </w:tr>
      <w:tr>
        <w:trPr>
          <w:cantSplit w:val="1"/>
        </w:trPr>
        <w:tc>
          <w:tcPr>
            <w:tcW w:type="dxa" w:w="2232"/>
            <w:tcMar>
              <w:top w:w="70" w:type="dxa"/>
              <w:start w:w="90" w:type="dxa"/>
              <w:bottom w:w="70" w:type="dxa"/>
              <w:end w:w="90" w:type="dxa"/>
            </w:tcMar>
            <w:vAlign w:val="top"/>
          </w:tcPr>
          <w:p>
            <w:pPr>
              <w:spacing w:after="0" w:before="0"/>
            </w:pPr>
            <w:r/>
            <w:r>
              <w:rPr>
                <w:rFonts w:ascii="Aptos" w:hAnsi="Aptos"/>
                <w:b w:val="0"/>
                <w:color w:val="1D252C"/>
                <w:sz w:val="15"/>
              </w:rPr>
              <w:t>Google Routes</w:t>
            </w:r>
          </w:p>
        </w:tc>
        <w:tc>
          <w:tcPr>
            <w:tcW w:type="dxa" w:w="4392"/>
            <w:tcMar>
              <w:top w:w="70" w:type="dxa"/>
              <w:start w:w="90" w:type="dxa"/>
              <w:bottom w:w="70" w:type="dxa"/>
              <w:end w:w="90" w:type="dxa"/>
            </w:tcMar>
            <w:vAlign w:val="top"/>
          </w:tcPr>
          <w:p>
            <w:pPr>
              <w:spacing w:after="0" w:before="0"/>
            </w:pPr>
            <w:r/>
            <w:r>
              <w:rPr>
                <w:rFonts w:ascii="Aptos" w:hAnsi="Aptos"/>
                <w:b w:val="0"/>
                <w:color w:val="1D252C"/>
                <w:sz w:val="15"/>
              </w:rPr>
              <w:t>Traffic-aware travel and route matrix for planning</w:t>
            </w:r>
          </w:p>
        </w:tc>
        <w:tc>
          <w:tcPr>
            <w:tcW w:type="dxa" w:w="4320"/>
            <w:tcMar>
              <w:top w:w="70" w:type="dxa"/>
              <w:start w:w="90" w:type="dxa"/>
              <w:bottom w:w="70" w:type="dxa"/>
              <w:end w:w="90" w:type="dxa"/>
            </w:tcMar>
            <w:vAlign w:val="top"/>
          </w:tcPr>
          <w:p>
            <w:pPr>
              <w:spacing w:after="0" w:before="0"/>
            </w:pPr>
            <w:r/>
            <w:r>
              <w:rPr>
                <w:rFonts w:ascii="Aptos" w:hAnsi="Aptos"/>
                <w:b w:val="0"/>
                <w:color w:val="1D252C"/>
                <w:sz w:val="15"/>
              </w:rPr>
              <w:t>Using raw location data beyond operational need</w:t>
            </w:r>
          </w:p>
        </w:tc>
      </w:tr>
    </w:tbl>
    <w:p>
      <w:pPr>
        <w:spacing w:after="20"/>
      </w:pPr>
    </w:p>
    <w:p>
      <w:pPr>
        <w:pStyle w:val="Heading1"/>
        <w:spacing w:before="200" w:after="80"/>
        <w:keepNext w:val="1"/>
      </w:pPr>
      <w:r>
        <w:t>9. Product surfaces to add or change</w:t>
      </w:r>
    </w:p>
    <w:p>
      <w:pPr>
        <w:pStyle w:val="Heading2"/>
        <w:spacing w:before="140" w:after="80"/>
        <w:keepNext w:val="1"/>
      </w:pPr>
      <w:r>
        <w:t>9.1 HOM previsit view</w:t>
      </w:r>
    </w:p>
    <w:p>
      <w:pPr>
        <w:pStyle w:val="ListBullet"/>
        <w:spacing w:after="40" w:line="245" w:lineRule="auto"/>
        <w:ind w:left="259" w:hanging="173"/>
      </w:pPr>
      <w:r>
        <w:rPr>
          <w:rFonts w:ascii="Aptos" w:hAnsi="Aptos"/>
          <w:color w:val="1D252C"/>
          <w:sz w:val="18"/>
        </w:rPr>
        <w:t>Show today’s Work Requirements in recommended sequence, not a raw task list.</w:t>
      </w:r>
    </w:p>
    <w:p>
      <w:pPr>
        <w:pStyle w:val="ListBullet"/>
        <w:spacing w:after="40" w:line="245" w:lineRule="auto"/>
        <w:ind w:left="259" w:hanging="173"/>
      </w:pPr>
      <w:r>
        <w:rPr>
          <w:rFonts w:ascii="Aptos" w:hAnsi="Aptos"/>
          <w:color w:val="1D252C"/>
          <w:sz w:val="18"/>
        </w:rPr>
        <w:t>Show predicted visit load as a range and confidence, not a countdown target.</w:t>
      </w:r>
    </w:p>
    <w:p>
      <w:pPr>
        <w:pStyle w:val="ListBullet"/>
        <w:spacing w:after="40" w:line="245" w:lineRule="auto"/>
        <w:ind w:left="259" w:hanging="173"/>
      </w:pPr>
      <w:r>
        <w:rPr>
          <w:rFonts w:ascii="Aptos" w:hAnsi="Aptos"/>
          <w:color w:val="1D252C"/>
          <w:sz w:val="18"/>
        </w:rPr>
        <w:t>Surface major variance drivers and unusual conditions: high package volume, hosting, first-time task, vendor presence, weather, decision dependency.</w:t>
      </w:r>
    </w:p>
    <w:p>
      <w:pPr>
        <w:pStyle w:val="ListBullet"/>
        <w:spacing w:after="40" w:line="245" w:lineRule="auto"/>
        <w:ind w:left="259" w:hanging="173"/>
      </w:pPr>
      <w:r>
        <w:rPr>
          <w:rFonts w:ascii="Aptos" w:hAnsi="Aptos"/>
          <w:color w:val="1D252C"/>
          <w:sz w:val="18"/>
        </w:rPr>
        <w:t>Identify dwell opportunities and compatible tasks without forcing the HOM to follow the suggestion.</w:t>
      </w:r>
    </w:p>
    <w:p>
      <w:pPr>
        <w:pStyle w:val="ListBullet"/>
        <w:spacing w:after="40" w:line="245" w:lineRule="auto"/>
        <w:ind w:left="259" w:hanging="173"/>
      </w:pPr>
      <w:r>
        <w:rPr>
          <w:rFonts w:ascii="Aptos" w:hAnsi="Aptos"/>
          <w:color w:val="1D252C"/>
          <w:sz w:val="18"/>
        </w:rPr>
        <w:t>Show completion standard/method links from Standards Store where relevant.</w:t>
      </w:r>
    </w:p>
    <w:p>
      <w:pPr>
        <w:pStyle w:val="ListBullet"/>
        <w:spacing w:after="40" w:line="245" w:lineRule="auto"/>
        <w:ind w:left="259" w:hanging="173"/>
      </w:pPr>
      <w:r>
        <w:rPr>
          <w:rFonts w:ascii="Aptos" w:hAnsi="Aptos"/>
          <w:color w:val="1D252C"/>
          <w:sz w:val="18"/>
        </w:rPr>
        <w:t>Show only operationally relevant detail under role permissions.</w:t>
      </w:r>
    </w:p>
    <w:p>
      <w:pPr>
        <w:pStyle w:val="Heading2"/>
        <w:spacing w:before="140" w:after="80"/>
        <w:keepNext w:val="1"/>
      </w:pPr>
      <w:r>
        <w:t>9.2 HOM execution and close flow</w:t>
      </w:r>
    </w:p>
    <w:p>
      <w:pPr>
        <w:spacing w:after="100" w:line="250" w:lineRule="auto"/>
      </w:pPr>
      <w:r>
        <w:rPr>
          <w:rFonts w:ascii="Aptos" w:hAnsi="Aptos"/>
          <w:i w:val="0"/>
        </w:rPr>
        <w:t>Do not turn the HOM into a time-study clerk. Use the existing arrival/leave and close-flow architecture, then selectively instrument task segments during calibration.</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088"/>
            <w:shd w:fill="17324D"/>
            <w:tcMar>
              <w:top w:w="70" w:type="dxa"/>
              <w:start w:w="90" w:type="dxa"/>
              <w:bottom w:w="70" w:type="dxa"/>
              <w:end w:w="90" w:type="dxa"/>
            </w:tcMar>
            <w:vAlign w:val="center"/>
          </w:tcPr>
          <w:p>
            <w:pPr>
              <w:spacing w:after="0" w:before="0"/>
            </w:pPr>
            <w:r/>
            <w:r>
              <w:rPr>
                <w:rFonts w:ascii="Aptos" w:hAnsi="Aptos"/>
                <w:b/>
                <w:color w:val="FFFFFF"/>
                <w:sz w:val="16"/>
              </w:rPr>
              <w:t>Interaction</w:t>
            </w:r>
          </w:p>
        </w:tc>
        <w:tc>
          <w:tcPr>
            <w:tcW w:type="dxa" w:w="8784"/>
            <w:shd w:fill="17324D"/>
            <w:tcMar>
              <w:top w:w="70" w:type="dxa"/>
              <w:start w:w="90" w:type="dxa"/>
              <w:bottom w:w="70" w:type="dxa"/>
              <w:end w:w="90" w:type="dxa"/>
            </w:tcMar>
            <w:vAlign w:val="center"/>
          </w:tcPr>
          <w:p>
            <w:pPr>
              <w:spacing w:after="0" w:before="0"/>
            </w:pPr>
            <w:r/>
            <w:r>
              <w:rPr>
                <w:rFonts w:ascii="Aptos" w:hAnsi="Aptos"/>
                <w:b/>
                <w:color w:val="FFFFFF"/>
                <w:sz w:val="16"/>
              </w:rPr>
              <w:t>Implementation</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Arrive/leave</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Retain REQ-036 concept: geofence may suggest an event, manual override is always available, and it never auto-bills.</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Calibration mode</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Corporate can mark selected Task IDs/occurrences for more detailed capture during a limited learning window.</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Task start/finish</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One tap only when calibration is active or when the task naturally has a start/stop action.</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Dwell</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Allow a quick state switch rather than forcing multiple timers; machine cycle can also come from asset/model or observed completion.</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Variance</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One-tap controlled reason codes; free text optional for genuinely novel reason.</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Quantity</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Capture only fields that materially drive estimate; prefill expected quantity and allow correction.</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Quality</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Completion-to-standard/rework signal prevents fast-but-incomplete data from teaching the model.</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Close flow</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Auto-summarize captured actuals and request only unresolved exception/quantity fields.</w:t>
            </w:r>
          </w:p>
        </w:tc>
      </w:tr>
    </w:tbl>
    <w:p>
      <w:pPr>
        <w:spacing w:after="20"/>
      </w:pPr>
    </w:p>
    <w:p>
      <w:pPr>
        <w:pStyle w:val="Heading2"/>
        <w:spacing w:before="140" w:after="80"/>
        <w:keepNext w:val="1"/>
      </w:pPr>
      <w:r>
        <w:t>9.3 Corporate capacity view</w:t>
      </w:r>
    </w:p>
    <w:p>
      <w:pPr>
        <w:spacing w:after="100" w:line="250" w:lineRule="auto"/>
      </w:pPr>
      <w:r>
        <w:rPr>
          <w:rFonts w:ascii="Aptos" w:hAnsi="Aptos"/>
          <w:i w:val="0"/>
        </w:rPr>
        <w:t>Add a forecast surface that reports system risk, not employee performance.</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3168"/>
            <w:shd w:fill="17324D"/>
            <w:tcMar>
              <w:top w:w="70" w:type="dxa"/>
              <w:start w:w="90" w:type="dxa"/>
              <w:bottom w:w="70" w:type="dxa"/>
              <w:end w:w="90" w:type="dxa"/>
            </w:tcMar>
            <w:vAlign w:val="center"/>
          </w:tcPr>
          <w:p>
            <w:pPr>
              <w:spacing w:after="0" w:before="0"/>
            </w:pPr>
            <w:r/>
            <w:r>
              <w:rPr>
                <w:rFonts w:ascii="Aptos" w:hAnsi="Aptos"/>
                <w:b/>
                <w:color w:val="FFFFFF"/>
                <w:sz w:val="16"/>
              </w:rPr>
              <w:t>Metric</w:t>
            </w:r>
          </w:p>
        </w:tc>
        <w:tc>
          <w:tcPr>
            <w:tcW w:type="dxa" w:w="7704"/>
            <w:shd w:fill="17324D"/>
            <w:tcMar>
              <w:top w:w="70" w:type="dxa"/>
              <w:start w:w="90" w:type="dxa"/>
              <w:bottom w:w="70" w:type="dxa"/>
              <w:end w:w="90" w:type="dxa"/>
            </w:tcMar>
            <w:vAlign w:val="center"/>
          </w:tcPr>
          <w:p>
            <w:pPr>
              <w:spacing w:after="0" w:before="0"/>
            </w:pPr>
            <w:r/>
            <w:r>
              <w:rPr>
                <w:rFonts w:ascii="Aptos" w:hAnsi="Aptos"/>
                <w:b/>
                <w:color w:val="FFFFFF"/>
                <w:sz w:val="16"/>
              </w:rPr>
              <w:t>Display intent</w:t>
            </w:r>
          </w:p>
        </w:tc>
      </w:tr>
      <w:tr>
        <w:trPr>
          <w:cantSplit w:val="1"/>
        </w:trPr>
        <w:tc>
          <w:tcPr>
            <w:tcW w:type="dxa" w:w="3168"/>
            <w:tcMar>
              <w:top w:w="70" w:type="dxa"/>
              <w:start w:w="90" w:type="dxa"/>
              <w:bottom w:w="70" w:type="dxa"/>
              <w:end w:w="90" w:type="dxa"/>
            </w:tcMar>
            <w:vAlign w:val="top"/>
          </w:tcPr>
          <w:p>
            <w:pPr>
              <w:spacing w:after="0" w:before="0"/>
            </w:pPr>
            <w:r/>
            <w:r>
              <w:rPr>
                <w:rFonts w:ascii="Aptos" w:hAnsi="Aptos"/>
                <w:b w:val="0"/>
                <w:color w:val="1D252C"/>
                <w:sz w:val="16"/>
              </w:rPr>
              <w:t>P50 scheduled/forecast work</w:t>
            </w:r>
          </w:p>
        </w:tc>
        <w:tc>
          <w:tcPr>
            <w:tcW w:type="dxa" w:w="7704"/>
            <w:tcMar>
              <w:top w:w="70" w:type="dxa"/>
              <w:start w:w="90" w:type="dxa"/>
              <w:bottom w:w="70" w:type="dxa"/>
              <w:end w:w="90" w:type="dxa"/>
            </w:tcMar>
            <w:vAlign w:val="top"/>
          </w:tcPr>
          <w:p>
            <w:pPr>
              <w:spacing w:after="0" w:before="0"/>
            </w:pPr>
            <w:r/>
            <w:r>
              <w:rPr>
                <w:rFonts w:ascii="Aptos" w:hAnsi="Aptos"/>
                <w:b w:val="0"/>
                <w:color w:val="1D252C"/>
                <w:sz w:val="16"/>
              </w:rPr>
              <w:t>Most likely operational demand.</w:t>
            </w:r>
          </w:p>
        </w:tc>
      </w:tr>
      <w:tr>
        <w:trPr>
          <w:cantSplit w:val="1"/>
        </w:trPr>
        <w:tc>
          <w:tcPr>
            <w:tcW w:type="dxa" w:w="3168"/>
            <w:shd w:fill="FAFBFC"/>
            <w:tcMar>
              <w:top w:w="70" w:type="dxa"/>
              <w:start w:w="90" w:type="dxa"/>
              <w:bottom w:w="70" w:type="dxa"/>
              <w:end w:w="90" w:type="dxa"/>
            </w:tcMar>
            <w:vAlign w:val="top"/>
          </w:tcPr>
          <w:p>
            <w:pPr>
              <w:spacing w:after="0" w:before="0"/>
            </w:pPr>
            <w:r/>
            <w:r>
              <w:rPr>
                <w:rFonts w:ascii="Aptos" w:hAnsi="Aptos"/>
                <w:b w:val="0"/>
                <w:color w:val="1D252C"/>
                <w:sz w:val="16"/>
              </w:rPr>
              <w:t>P80 protected work</w:t>
            </w:r>
          </w:p>
        </w:tc>
        <w:tc>
          <w:tcPr>
            <w:tcW w:type="dxa" w:w="7704"/>
            <w:shd w:fill="FAFBFC"/>
            <w:tcMar>
              <w:top w:w="70" w:type="dxa"/>
              <w:start w:w="90" w:type="dxa"/>
              <w:bottom w:w="70" w:type="dxa"/>
              <w:end w:w="90" w:type="dxa"/>
            </w:tcMar>
            <w:vAlign w:val="top"/>
          </w:tcPr>
          <w:p>
            <w:pPr>
              <w:spacing w:after="0" w:before="0"/>
            </w:pPr>
            <w:r/>
            <w:r>
              <w:rPr>
                <w:rFonts w:ascii="Aptos" w:hAnsi="Aptos"/>
                <w:b w:val="0"/>
                <w:color w:val="1D252C"/>
                <w:sz w:val="16"/>
              </w:rPr>
              <w:t>Planning load with uncertainty accounted for.</w:t>
            </w:r>
          </w:p>
        </w:tc>
      </w:tr>
      <w:tr>
        <w:trPr>
          <w:cantSplit w:val="1"/>
        </w:trPr>
        <w:tc>
          <w:tcPr>
            <w:tcW w:type="dxa" w:w="3168"/>
            <w:tcMar>
              <w:top w:w="70" w:type="dxa"/>
              <w:start w:w="90" w:type="dxa"/>
              <w:bottom w:w="70" w:type="dxa"/>
              <w:end w:w="90" w:type="dxa"/>
            </w:tcMar>
            <w:vAlign w:val="top"/>
          </w:tcPr>
          <w:p>
            <w:pPr>
              <w:spacing w:after="0" w:before="0"/>
            </w:pPr>
            <w:r/>
            <w:r>
              <w:rPr>
                <w:rFonts w:ascii="Aptos" w:hAnsi="Aptos"/>
                <w:b w:val="0"/>
                <w:color w:val="1D252C"/>
                <w:sz w:val="16"/>
              </w:rPr>
              <w:t>Onsite active / remote / presence-wait</w:t>
            </w:r>
          </w:p>
        </w:tc>
        <w:tc>
          <w:tcPr>
            <w:tcW w:type="dxa" w:w="7704"/>
            <w:tcMar>
              <w:top w:w="70" w:type="dxa"/>
              <w:start w:w="90" w:type="dxa"/>
              <w:bottom w:w="70" w:type="dxa"/>
              <w:end w:w="90" w:type="dxa"/>
            </w:tcMar>
            <w:vAlign w:val="top"/>
          </w:tcPr>
          <w:p>
            <w:pPr>
              <w:spacing w:after="0" w:before="0"/>
            </w:pPr>
            <w:r/>
            <w:r>
              <w:rPr>
                <w:rFonts w:ascii="Aptos" w:hAnsi="Aptos"/>
                <w:b w:val="0"/>
                <w:color w:val="1D252C"/>
                <w:sz w:val="16"/>
              </w:rPr>
              <w:t>Make hidden coordination and presence burden visible.</w:t>
            </w:r>
          </w:p>
        </w:tc>
      </w:tr>
      <w:tr>
        <w:trPr>
          <w:cantSplit w:val="1"/>
        </w:trPr>
        <w:tc>
          <w:tcPr>
            <w:tcW w:type="dxa" w:w="3168"/>
            <w:shd w:fill="FAFBFC"/>
            <w:tcMar>
              <w:top w:w="70" w:type="dxa"/>
              <w:start w:w="90" w:type="dxa"/>
              <w:bottom w:w="70" w:type="dxa"/>
              <w:end w:w="90" w:type="dxa"/>
            </w:tcMar>
            <w:vAlign w:val="top"/>
          </w:tcPr>
          <w:p>
            <w:pPr>
              <w:spacing w:after="0" w:before="0"/>
            </w:pPr>
            <w:r/>
            <w:r>
              <w:rPr>
                <w:rFonts w:ascii="Aptos" w:hAnsi="Aptos"/>
                <w:b w:val="0"/>
                <w:color w:val="1D252C"/>
                <w:sz w:val="16"/>
              </w:rPr>
              <w:t>Travel + access</w:t>
            </w:r>
          </w:p>
        </w:tc>
        <w:tc>
          <w:tcPr>
            <w:tcW w:type="dxa" w:w="7704"/>
            <w:shd w:fill="FAFBFC"/>
            <w:tcMar>
              <w:top w:w="70" w:type="dxa"/>
              <w:start w:w="90" w:type="dxa"/>
              <w:bottom w:w="70" w:type="dxa"/>
              <w:end w:w="90" w:type="dxa"/>
            </w:tcMar>
            <w:vAlign w:val="top"/>
          </w:tcPr>
          <w:p>
            <w:pPr>
              <w:spacing w:after="0" w:before="0"/>
            </w:pPr>
            <w:r/>
            <w:r>
              <w:rPr>
                <w:rFonts w:ascii="Aptos" w:hAnsi="Aptos"/>
                <w:b w:val="0"/>
                <w:color w:val="1D252C"/>
                <w:sz w:val="16"/>
              </w:rPr>
              <w:t>Show density and building-access cost separately.</w:t>
            </w:r>
          </w:p>
        </w:tc>
      </w:tr>
      <w:tr>
        <w:trPr>
          <w:cantSplit w:val="1"/>
        </w:trPr>
        <w:tc>
          <w:tcPr>
            <w:tcW w:type="dxa" w:w="3168"/>
            <w:tcMar>
              <w:top w:w="70" w:type="dxa"/>
              <w:start w:w="90" w:type="dxa"/>
              <w:bottom w:w="70" w:type="dxa"/>
              <w:end w:w="90" w:type="dxa"/>
            </w:tcMar>
            <w:vAlign w:val="top"/>
          </w:tcPr>
          <w:p>
            <w:pPr>
              <w:spacing w:after="0" w:before="0"/>
            </w:pPr>
            <w:r/>
            <w:r>
              <w:rPr>
                <w:rFonts w:ascii="Aptos" w:hAnsi="Aptos"/>
                <w:b w:val="0"/>
                <w:color w:val="1D252C"/>
                <w:sz w:val="16"/>
              </w:rPr>
              <w:t>Low-confidence load</w:t>
            </w:r>
          </w:p>
        </w:tc>
        <w:tc>
          <w:tcPr>
            <w:tcW w:type="dxa" w:w="7704"/>
            <w:tcMar>
              <w:top w:w="70" w:type="dxa"/>
              <w:start w:w="90" w:type="dxa"/>
              <w:bottom w:w="70" w:type="dxa"/>
              <w:end w:w="90" w:type="dxa"/>
            </w:tcMar>
            <w:vAlign w:val="top"/>
          </w:tcPr>
          <w:p>
            <w:pPr>
              <w:spacing w:after="0" w:before="0"/>
            </w:pPr>
            <w:r/>
            <w:r>
              <w:rPr>
                <w:rFonts w:ascii="Aptos" w:hAnsi="Aptos"/>
                <w:b w:val="0"/>
                <w:color w:val="1D252C"/>
                <w:sz w:val="16"/>
              </w:rPr>
              <w:t>Where forecast is fragile because evidence is weak.</w:t>
            </w:r>
          </w:p>
        </w:tc>
      </w:tr>
      <w:tr>
        <w:trPr>
          <w:cantSplit w:val="1"/>
        </w:trPr>
        <w:tc>
          <w:tcPr>
            <w:tcW w:type="dxa" w:w="3168"/>
            <w:shd w:fill="FAFBFC"/>
            <w:tcMar>
              <w:top w:w="70" w:type="dxa"/>
              <w:start w:w="90" w:type="dxa"/>
              <w:bottom w:w="70" w:type="dxa"/>
              <w:end w:w="90" w:type="dxa"/>
            </w:tcMar>
            <w:vAlign w:val="top"/>
          </w:tcPr>
          <w:p>
            <w:pPr>
              <w:spacing w:after="0" w:before="0"/>
            </w:pPr>
            <w:r/>
            <w:r>
              <w:rPr>
                <w:rFonts w:ascii="Aptos" w:hAnsi="Aptos"/>
                <w:b w:val="0"/>
                <w:color w:val="1D252C"/>
                <w:sz w:val="16"/>
              </w:rPr>
              <w:t>Decision-dependent work</w:t>
            </w:r>
          </w:p>
        </w:tc>
        <w:tc>
          <w:tcPr>
            <w:tcW w:type="dxa" w:w="7704"/>
            <w:shd w:fill="FAFBFC"/>
            <w:tcMar>
              <w:top w:w="70" w:type="dxa"/>
              <w:start w:w="90" w:type="dxa"/>
              <w:bottom w:w="70" w:type="dxa"/>
              <w:end w:w="90" w:type="dxa"/>
            </w:tcMar>
            <w:vAlign w:val="top"/>
          </w:tcPr>
          <w:p>
            <w:pPr>
              <w:spacing w:after="0" w:before="0"/>
            </w:pPr>
            <w:r/>
            <w:r>
              <w:rPr>
                <w:rFonts w:ascii="Aptos" w:hAnsi="Aptos"/>
                <w:b w:val="0"/>
                <w:color w:val="1D252C"/>
                <w:sz w:val="16"/>
              </w:rPr>
              <w:t>Potential load not yet ready to execute.</w:t>
            </w:r>
          </w:p>
        </w:tc>
      </w:tr>
      <w:tr>
        <w:trPr>
          <w:cantSplit w:val="1"/>
        </w:trPr>
        <w:tc>
          <w:tcPr>
            <w:tcW w:type="dxa" w:w="3168"/>
            <w:tcMar>
              <w:top w:w="70" w:type="dxa"/>
              <w:start w:w="90" w:type="dxa"/>
              <w:bottom w:w="70" w:type="dxa"/>
              <w:end w:w="90" w:type="dxa"/>
            </w:tcMar>
            <w:vAlign w:val="top"/>
          </w:tcPr>
          <w:p>
            <w:pPr>
              <w:spacing w:after="0" w:before="0"/>
            </w:pPr>
            <w:r/>
            <w:r>
              <w:rPr>
                <w:rFonts w:ascii="Aptos" w:hAnsi="Aptos"/>
                <w:b w:val="0"/>
                <w:color w:val="1D252C"/>
                <w:sz w:val="16"/>
              </w:rPr>
              <w:t>Open-loop burden</w:t>
            </w:r>
          </w:p>
        </w:tc>
        <w:tc>
          <w:tcPr>
            <w:tcW w:type="dxa" w:w="7704"/>
            <w:tcMar>
              <w:top w:w="70" w:type="dxa"/>
              <w:start w:w="90" w:type="dxa"/>
              <w:bottom w:w="70" w:type="dxa"/>
              <w:end w:w="90" w:type="dxa"/>
            </w:tcMar>
            <w:vAlign w:val="top"/>
          </w:tcPr>
          <w:p>
            <w:pPr>
              <w:spacing w:after="0" w:before="0"/>
            </w:pPr>
            <w:r/>
            <w:r>
              <w:rPr>
                <w:rFonts w:ascii="Aptos" w:hAnsi="Aptos"/>
                <w:b w:val="0"/>
                <w:color w:val="1D252C"/>
                <w:sz w:val="16"/>
              </w:rPr>
              <w:t>Work created but not closed.</w:t>
            </w:r>
          </w:p>
        </w:tc>
      </w:tr>
      <w:tr>
        <w:trPr>
          <w:cantSplit w:val="1"/>
        </w:trPr>
        <w:tc>
          <w:tcPr>
            <w:tcW w:type="dxa" w:w="3168"/>
            <w:shd w:fill="FAFBFC"/>
            <w:tcMar>
              <w:top w:w="70" w:type="dxa"/>
              <w:start w:w="90" w:type="dxa"/>
              <w:bottom w:w="70" w:type="dxa"/>
              <w:end w:w="90" w:type="dxa"/>
            </w:tcMar>
            <w:vAlign w:val="top"/>
          </w:tcPr>
          <w:p>
            <w:pPr>
              <w:spacing w:after="0" w:before="0"/>
            </w:pPr>
            <w:r/>
            <w:r>
              <w:rPr>
                <w:rFonts w:ascii="Aptos" w:hAnsi="Aptos"/>
                <w:b w:val="0"/>
                <w:color w:val="1D252C"/>
                <w:sz w:val="16"/>
              </w:rPr>
              <w:t>Continuity/backup coverage</w:t>
            </w:r>
          </w:p>
        </w:tc>
        <w:tc>
          <w:tcPr>
            <w:tcW w:type="dxa" w:w="7704"/>
            <w:shd w:fill="FAFBFC"/>
            <w:tcMar>
              <w:top w:w="70" w:type="dxa"/>
              <w:start w:w="90" w:type="dxa"/>
              <w:bottom w:w="70" w:type="dxa"/>
              <w:end w:w="90" w:type="dxa"/>
            </w:tcMar>
            <w:vAlign w:val="top"/>
          </w:tcPr>
          <w:p>
            <w:pPr>
              <w:spacing w:after="0" w:before="0"/>
            </w:pPr>
            <w:r/>
            <w:r>
              <w:rPr>
                <w:rFonts w:ascii="Aptos" w:hAnsi="Aptos"/>
                <w:b w:val="0"/>
                <w:color w:val="1D252C"/>
                <w:sz w:val="16"/>
              </w:rPr>
              <w:t>How vulnerable a household is to absence.</w:t>
            </w:r>
          </w:p>
        </w:tc>
      </w:tr>
      <w:tr>
        <w:trPr>
          <w:cantSplit w:val="1"/>
        </w:trPr>
        <w:tc>
          <w:tcPr>
            <w:tcW w:type="dxa" w:w="3168"/>
            <w:tcMar>
              <w:top w:w="70" w:type="dxa"/>
              <w:start w:w="90" w:type="dxa"/>
              <w:bottom w:w="70" w:type="dxa"/>
              <w:end w:w="90" w:type="dxa"/>
            </w:tcMar>
            <w:vAlign w:val="top"/>
          </w:tcPr>
          <w:p>
            <w:pPr>
              <w:spacing w:after="0" w:before="0"/>
            </w:pPr>
            <w:r/>
            <w:r>
              <w:rPr>
                <w:rFonts w:ascii="Aptos" w:hAnsi="Aptos"/>
                <w:b w:val="0"/>
                <w:color w:val="1D252C"/>
                <w:sz w:val="16"/>
              </w:rPr>
              <w:t>Structural reserve</w:t>
            </w:r>
          </w:p>
        </w:tc>
        <w:tc>
          <w:tcPr>
            <w:tcW w:type="dxa" w:w="7704"/>
            <w:tcMar>
              <w:top w:w="70" w:type="dxa"/>
              <w:start w:w="90" w:type="dxa"/>
              <w:bottom w:w="70" w:type="dxa"/>
              <w:end w:w="90" w:type="dxa"/>
            </w:tcMar>
            <w:vAlign w:val="top"/>
          </w:tcPr>
          <w:p>
            <w:pPr>
              <w:spacing w:after="0" w:before="0"/>
            </w:pPr>
            <w:r/>
            <w:r>
              <w:rPr>
                <w:rFonts w:ascii="Aptos" w:hAnsi="Aptos"/>
                <w:b w:val="0"/>
                <w:color w:val="1D252C"/>
                <w:sz w:val="16"/>
              </w:rPr>
              <w:t>Capacity available for clustered household life.</w:t>
            </w:r>
          </w:p>
        </w:tc>
      </w:tr>
      <w:tr>
        <w:trPr>
          <w:cantSplit w:val="1"/>
        </w:trPr>
        <w:tc>
          <w:tcPr>
            <w:tcW w:type="dxa" w:w="3168"/>
            <w:shd w:fill="FAFBFC"/>
            <w:tcMar>
              <w:top w:w="70" w:type="dxa"/>
              <w:start w:w="90" w:type="dxa"/>
              <w:bottom w:w="70" w:type="dxa"/>
              <w:end w:w="90" w:type="dxa"/>
            </w:tcMar>
            <w:vAlign w:val="top"/>
          </w:tcPr>
          <w:p>
            <w:pPr>
              <w:spacing w:after="0" w:before="0"/>
            </w:pPr>
            <w:r/>
            <w:r>
              <w:rPr>
                <w:rFonts w:ascii="Aptos" w:hAnsi="Aptos"/>
                <w:b w:val="0"/>
                <w:color w:val="1D252C"/>
                <w:sz w:val="16"/>
              </w:rPr>
              <w:t>HOM self-report</w:t>
            </w:r>
          </w:p>
        </w:tc>
        <w:tc>
          <w:tcPr>
            <w:tcW w:type="dxa" w:w="7704"/>
            <w:shd w:fill="FAFBFC"/>
            <w:tcMar>
              <w:top w:w="70" w:type="dxa"/>
              <w:start w:w="90" w:type="dxa"/>
              <w:bottom w:w="70" w:type="dxa"/>
              <w:end w:w="90" w:type="dxa"/>
            </w:tcMar>
            <w:vAlign w:val="top"/>
          </w:tcPr>
          <w:p>
            <w:pPr>
              <w:spacing w:after="0" w:before="0"/>
            </w:pPr>
            <w:r/>
            <w:r>
              <w:rPr>
                <w:rFonts w:ascii="Aptos" w:hAnsi="Aptos"/>
                <w:b w:val="0"/>
                <w:color w:val="1D252C"/>
                <w:sz w:val="16"/>
              </w:rPr>
              <w:t>Prominent authoritative human override.</w:t>
            </w:r>
          </w:p>
        </w:tc>
      </w:tr>
    </w:tbl>
    <w:p>
      <w:pPr>
        <w:spacing w:after="20"/>
      </w:pPr>
    </w:p>
    <w:p>
      <w:pPr>
        <w:pStyle w:val="Heading2"/>
        <w:spacing w:before="140" w:after="80"/>
        <w:keepNext w:val="1"/>
      </w:pPr>
      <w:r>
        <w:t>9.4 Scenario simulator</w:t>
      </w:r>
    </w:p>
    <w:p>
      <w:pPr>
        <w:spacing w:after="100" w:line="250" w:lineRule="auto"/>
      </w:pPr>
      <w:r>
        <w:rPr>
          <w:rFonts w:ascii="Aptos" w:hAnsi="Aptos"/>
          <w:i w:val="0"/>
        </w:rPr>
        <w:t>Build a read-only scenario engine before autonomous optimization. It should clone a forecast snapshot, modify inputs, recompute demand/capacity, and show the delta without changing production bookings.</w:t>
      </w:r>
    </w:p>
    <w:p>
      <w:pPr>
        <w:pStyle w:val="ListBullet"/>
        <w:spacing w:after="40" w:line="245" w:lineRule="auto"/>
        <w:ind w:left="259" w:hanging="173"/>
      </w:pPr>
      <w:r>
        <w:rPr>
          <w:rFonts w:ascii="Aptos" w:hAnsi="Aptos"/>
          <w:color w:val="1D252C"/>
          <w:sz w:val="18"/>
        </w:rPr>
        <w:t>Add a new household to a cluster.</w:t>
      </w:r>
    </w:p>
    <w:p>
      <w:pPr>
        <w:pStyle w:val="ListBullet"/>
        <w:spacing w:after="40" w:line="245" w:lineRule="auto"/>
        <w:ind w:left="259" w:hanging="173"/>
      </w:pPr>
      <w:r>
        <w:rPr>
          <w:rFonts w:ascii="Aptos" w:hAnsi="Aptos"/>
          <w:color w:val="1D252C"/>
          <w:sz w:val="18"/>
        </w:rPr>
        <w:t>Change a household's recurring scope or quantity.</w:t>
      </w:r>
    </w:p>
    <w:p>
      <w:pPr>
        <w:pStyle w:val="ListBullet"/>
        <w:spacing w:after="40" w:line="245" w:lineRule="auto"/>
        <w:ind w:left="259" w:hanging="173"/>
      </w:pPr>
      <w:r>
        <w:rPr>
          <w:rFonts w:ascii="Aptos" w:hAnsi="Aptos"/>
          <w:color w:val="1D252C"/>
          <w:sz w:val="18"/>
        </w:rPr>
        <w:t>Put a HOM on PTO or training.</w:t>
      </w:r>
    </w:p>
    <w:p>
      <w:pPr>
        <w:pStyle w:val="ListBullet"/>
        <w:spacing w:after="40" w:line="245" w:lineRule="auto"/>
        <w:ind w:left="259" w:hanging="173"/>
      </w:pPr>
      <w:r>
        <w:rPr>
          <w:rFonts w:ascii="Aptos" w:hAnsi="Aptos"/>
          <w:color w:val="1D252C"/>
          <w:sz w:val="18"/>
        </w:rPr>
        <w:t>Add a high-load travel/hosting/seasonal event.</w:t>
      </w:r>
    </w:p>
    <w:p>
      <w:pPr>
        <w:pStyle w:val="ListBullet"/>
        <w:spacing w:after="40" w:line="245" w:lineRule="auto"/>
        <w:ind w:left="259" w:hanging="173"/>
      </w:pPr>
      <w:r>
        <w:rPr>
          <w:rFonts w:ascii="Aptos" w:hAnsi="Aptos"/>
          <w:color w:val="1D252C"/>
          <w:sz w:val="18"/>
        </w:rPr>
        <w:t>Move a household from one HOM to another.</w:t>
      </w:r>
    </w:p>
    <w:p>
      <w:pPr>
        <w:pStyle w:val="ListBullet"/>
        <w:spacing w:after="40" w:line="245" w:lineRule="auto"/>
        <w:ind w:left="259" w:hanging="173"/>
      </w:pPr>
      <w:r>
        <w:rPr>
          <w:rFonts w:ascii="Aptos" w:hAnsi="Aptos"/>
          <w:color w:val="1D252C"/>
          <w:sz w:val="18"/>
        </w:rPr>
        <w:t>Increase travel/access assumptions.</w:t>
      </w:r>
    </w:p>
    <w:p>
      <w:pPr>
        <w:pStyle w:val="ListBullet"/>
        <w:spacing w:after="40" w:line="245" w:lineRule="auto"/>
        <w:ind w:left="259" w:hanging="173"/>
      </w:pPr>
      <w:r>
        <w:rPr>
          <w:rFonts w:ascii="Aptos" w:hAnsi="Aptos"/>
          <w:color w:val="1D252C"/>
          <w:sz w:val="18"/>
        </w:rPr>
        <w:t>Apply a backup coverage model.</w:t>
      </w:r>
    </w:p>
    <w:p>
      <w:pPr>
        <w:pStyle w:val="ListBullet"/>
        <w:spacing w:after="40" w:line="245" w:lineRule="auto"/>
        <w:ind w:left="259" w:hanging="173"/>
      </w:pPr>
      <w:r>
        <w:rPr>
          <w:rFonts w:ascii="Aptos" w:hAnsi="Aptos"/>
          <w:color w:val="1D252C"/>
          <w:sz w:val="18"/>
        </w:rPr>
        <w:t>Test a future staffing hire or Help Desk capacity increase.</w:t>
      </w:r>
    </w:p>
    <w:p>
      <w:pPr>
        <w:pStyle w:val="Heading1"/>
        <w:spacing w:before="200" w:after="80"/>
        <w:keepNext w:val="1"/>
      </w:pPr>
      <w:r>
        <w:t>10. External evidence ingestion and intellectual-property controls</w:t>
      </w:r>
    </w:p>
    <w:p>
      <w:pPr>
        <w:spacing w:after="100" w:line="250" w:lineRule="auto"/>
      </w:pPr>
      <w:r>
        <w:rPr>
          <w:rFonts w:ascii="Aptos" w:hAnsi="Aptos"/>
          <w:i w:val="0"/>
        </w:rPr>
        <w:t>The source sweep includes creators, books, commercial apps, paid industry resources, manufacturer guidance, government documents and APIs. Treat source governance as a product requirement rather than a research footnote.</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592"/>
            <w:shd w:fill="17324D"/>
            <w:tcMar>
              <w:top w:w="70" w:type="dxa"/>
              <w:start w:w="90" w:type="dxa"/>
              <w:bottom w:w="70" w:type="dxa"/>
              <w:end w:w="90" w:type="dxa"/>
            </w:tcMar>
            <w:vAlign w:val="center"/>
          </w:tcPr>
          <w:p>
            <w:pPr>
              <w:spacing w:after="0" w:before="0"/>
            </w:pPr>
            <w:r/>
            <w:r>
              <w:rPr>
                <w:rFonts w:ascii="Aptos" w:hAnsi="Aptos"/>
                <w:b/>
                <w:color w:val="FFFFFF"/>
                <w:sz w:val="16"/>
              </w:rPr>
              <w:t>Source class</w:t>
            </w:r>
          </w:p>
        </w:tc>
        <w:tc>
          <w:tcPr>
            <w:tcW w:type="dxa" w:w="8280"/>
            <w:shd w:fill="17324D"/>
            <w:tcMar>
              <w:top w:w="70" w:type="dxa"/>
              <w:start w:w="90" w:type="dxa"/>
              <w:bottom w:w="70" w:type="dxa"/>
              <w:end w:w="90" w:type="dxa"/>
            </w:tcMar>
            <w:vAlign w:val="center"/>
          </w:tcPr>
          <w:p>
            <w:pPr>
              <w:spacing w:after="0" w:before="0"/>
            </w:pPr>
            <w:r/>
            <w:r>
              <w:rPr>
                <w:rFonts w:ascii="Aptos" w:hAnsi="Aptos"/>
                <w:b/>
                <w:color w:val="FFFFFF"/>
                <w:sz w:val="16"/>
              </w:rPr>
              <w:t>Default ingestion rule</w:t>
            </w:r>
          </w:p>
        </w:tc>
      </w:tr>
      <w:tr>
        <w:trPr>
          <w:cantSplit w:val="1"/>
        </w:trPr>
        <w:tc>
          <w:tcPr>
            <w:tcW w:type="dxa" w:w="2592"/>
            <w:tcMar>
              <w:top w:w="70" w:type="dxa"/>
              <w:start w:w="90" w:type="dxa"/>
              <w:bottom w:w="70" w:type="dxa"/>
              <w:end w:w="90" w:type="dxa"/>
            </w:tcMar>
            <w:vAlign w:val="top"/>
          </w:tcPr>
          <w:p>
            <w:pPr>
              <w:spacing w:after="0" w:before="0"/>
            </w:pPr>
            <w:r/>
            <w:r>
              <w:rPr>
                <w:rFonts w:ascii="Aptos" w:hAnsi="Aptos"/>
                <w:b w:val="0"/>
                <w:color w:val="1D252C"/>
                <w:sz w:val="16"/>
              </w:rPr>
              <w:t>Creators / public demonstrations</w:t>
            </w:r>
          </w:p>
        </w:tc>
        <w:tc>
          <w:tcPr>
            <w:tcW w:type="dxa" w:w="8280"/>
            <w:tcMar>
              <w:top w:w="70" w:type="dxa"/>
              <w:start w:w="90" w:type="dxa"/>
              <w:bottom w:w="70" w:type="dxa"/>
              <w:end w:w="90" w:type="dxa"/>
            </w:tcMar>
            <w:vAlign w:val="top"/>
          </w:tcPr>
          <w:p>
            <w:pPr>
              <w:spacing w:after="0" w:before="0"/>
            </w:pPr>
            <w:r/>
            <w:r>
              <w:rPr>
                <w:rFonts w:ascii="Aptos" w:hAnsi="Aptos"/>
                <w:b w:val="0"/>
                <w:color w:val="1D252C"/>
                <w:sz w:val="16"/>
              </w:rPr>
              <w:t>Manual curated observation only. Store factual observation, boundary and source link. Do not download/rehost videos or scrape social platforms as a data pipeline without legal/terms review.</w:t>
            </w:r>
          </w:p>
        </w:tc>
      </w:tr>
      <w:tr>
        <w:trPr>
          <w:cantSplit w:val="1"/>
        </w:trPr>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6"/>
              </w:rPr>
              <w:t>Paid books / guides</w:t>
            </w:r>
          </w:p>
        </w:tc>
        <w:tc>
          <w:tcPr>
            <w:tcW w:type="dxa" w:w="8280"/>
            <w:shd w:fill="FAFBFC"/>
            <w:tcMar>
              <w:top w:w="70" w:type="dxa"/>
              <w:start w:w="90" w:type="dxa"/>
              <w:bottom w:w="70" w:type="dxa"/>
              <w:end w:w="90" w:type="dxa"/>
            </w:tcMar>
            <w:vAlign w:val="top"/>
          </w:tcPr>
          <w:p>
            <w:pPr>
              <w:spacing w:after="0" w:before="0"/>
            </w:pPr>
            <w:r/>
            <w:r>
              <w:rPr>
                <w:rFonts w:ascii="Aptos" w:hAnsi="Aptos"/>
                <w:b w:val="0"/>
                <w:color w:val="1D252C"/>
                <w:sz w:val="16"/>
              </w:rPr>
              <w:t>Research and manually derived metadata only unless license permits more. Do not reproduce substantial copyrighted text.</w:t>
            </w:r>
          </w:p>
        </w:tc>
      </w:tr>
      <w:tr>
        <w:trPr>
          <w:cantSplit w:val="1"/>
        </w:trPr>
        <w:tc>
          <w:tcPr>
            <w:tcW w:type="dxa" w:w="2592"/>
            <w:tcMar>
              <w:top w:w="70" w:type="dxa"/>
              <w:start w:w="90" w:type="dxa"/>
              <w:bottom w:w="70" w:type="dxa"/>
              <w:end w:w="90" w:type="dxa"/>
            </w:tcMar>
            <w:vAlign w:val="top"/>
          </w:tcPr>
          <w:p>
            <w:pPr>
              <w:spacing w:after="0" w:before="0"/>
            </w:pPr>
            <w:r/>
            <w:r>
              <w:rPr>
                <w:rFonts w:ascii="Aptos" w:hAnsi="Aptos"/>
                <w:b w:val="0"/>
                <w:color w:val="1D252C"/>
                <w:sz w:val="16"/>
              </w:rPr>
              <w:t>ISSA Cleaning Times</w:t>
            </w:r>
          </w:p>
        </w:tc>
        <w:tc>
          <w:tcPr>
            <w:tcW w:type="dxa" w:w="8280"/>
            <w:tcMar>
              <w:top w:w="70" w:type="dxa"/>
              <w:start w:w="90" w:type="dxa"/>
              <w:bottom w:w="70" w:type="dxa"/>
              <w:end w:w="90" w:type="dxa"/>
            </w:tcMar>
            <w:vAlign w:val="top"/>
          </w:tcPr>
          <w:p>
            <w:pPr>
              <w:spacing w:after="0" w:before="0"/>
            </w:pPr>
            <w:r/>
            <w:r>
              <w:rPr>
                <w:rFonts w:ascii="Aptos" w:hAnsi="Aptos"/>
                <w:b w:val="0"/>
                <w:color w:val="1D252C"/>
                <w:sz w:val="16"/>
              </w:rPr>
              <w:t>Purchase/license and map only as permitted. Preserve ISSA identifiers/source context. Treat as benchmark prior, not quota.</w:t>
            </w:r>
          </w:p>
        </w:tc>
      </w:tr>
      <w:tr>
        <w:trPr>
          <w:cantSplit w:val="1"/>
        </w:trPr>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6"/>
              </w:rPr>
              <w:t>Government/public facts</w:t>
            </w:r>
          </w:p>
        </w:tc>
        <w:tc>
          <w:tcPr>
            <w:tcW w:type="dxa" w:w="8280"/>
            <w:shd w:fill="FAFBFC"/>
            <w:tcMar>
              <w:top w:w="70" w:type="dxa"/>
              <w:start w:w="90" w:type="dxa"/>
              <w:bottom w:w="70" w:type="dxa"/>
              <w:end w:w="90" w:type="dxa"/>
            </w:tcMar>
            <w:vAlign w:val="top"/>
          </w:tcPr>
          <w:p>
            <w:pPr>
              <w:spacing w:after="0" w:before="0"/>
            </w:pPr>
            <w:r/>
            <w:r>
              <w:rPr>
                <w:rFonts w:ascii="Aptos" w:hAnsi="Aptos"/>
                <w:b w:val="0"/>
                <w:color w:val="1D252C"/>
                <w:sz w:val="16"/>
              </w:rPr>
              <w:t>Use current facts, dates, clocks and public API data with provenance. Confirm copyright/usage notices for each source.</w:t>
            </w:r>
          </w:p>
        </w:tc>
      </w:tr>
      <w:tr>
        <w:trPr>
          <w:cantSplit w:val="1"/>
        </w:trPr>
        <w:tc>
          <w:tcPr>
            <w:tcW w:type="dxa" w:w="2592"/>
            <w:tcMar>
              <w:top w:w="70" w:type="dxa"/>
              <w:start w:w="90" w:type="dxa"/>
              <w:bottom w:w="70" w:type="dxa"/>
              <w:end w:w="90" w:type="dxa"/>
            </w:tcMar>
            <w:vAlign w:val="top"/>
          </w:tcPr>
          <w:p>
            <w:pPr>
              <w:spacing w:after="0" w:before="0"/>
            </w:pPr>
            <w:r/>
            <w:r>
              <w:rPr>
                <w:rFonts w:ascii="Aptos" w:hAnsi="Aptos"/>
                <w:b w:val="0"/>
                <w:color w:val="1D252C"/>
                <w:sz w:val="16"/>
              </w:rPr>
              <w:t>FEMA EFFAK</w:t>
            </w:r>
          </w:p>
        </w:tc>
        <w:tc>
          <w:tcPr>
            <w:tcW w:type="dxa" w:w="8280"/>
            <w:tcMar>
              <w:top w:w="70" w:type="dxa"/>
              <w:start w:w="90" w:type="dxa"/>
              <w:bottom w:w="70" w:type="dxa"/>
              <w:end w:w="90" w:type="dxa"/>
            </w:tcMar>
            <w:vAlign w:val="top"/>
          </w:tcPr>
          <w:p>
            <w:pPr>
              <w:spacing w:after="0" w:before="0"/>
            </w:pPr>
            <w:r/>
            <w:r>
              <w:rPr>
                <w:rFonts w:ascii="Aptos" w:hAnsi="Aptos"/>
                <w:b w:val="0"/>
                <w:color w:val="1D252C"/>
                <w:sz w:val="16"/>
              </w:rPr>
              <w:t>Source itself states commercial-use restrictions. Do not reproduce the kit into commercial software without permission; use independent/public facts or seek rights.</w:t>
            </w:r>
          </w:p>
        </w:tc>
      </w:tr>
      <w:tr>
        <w:trPr>
          <w:cantSplit w:val="1"/>
        </w:trPr>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6"/>
              </w:rPr>
              <w:t>Manufacturer manuals</w:t>
            </w:r>
          </w:p>
        </w:tc>
        <w:tc>
          <w:tcPr>
            <w:tcW w:type="dxa" w:w="8280"/>
            <w:shd w:fill="FAFBFC"/>
            <w:tcMar>
              <w:top w:w="70" w:type="dxa"/>
              <w:start w:w="90" w:type="dxa"/>
              <w:bottom w:w="70" w:type="dxa"/>
              <w:end w:w="90" w:type="dxa"/>
            </w:tcMar>
            <w:vAlign w:val="top"/>
          </w:tcPr>
          <w:p>
            <w:pPr>
              <w:spacing w:after="0" w:before="0"/>
            </w:pPr>
            <w:r/>
            <w:r>
              <w:rPr>
                <w:rFonts w:ascii="Aptos" w:hAnsi="Aptos"/>
                <w:b w:val="0"/>
                <w:color w:val="1D252C"/>
                <w:sz w:val="16"/>
              </w:rPr>
              <w:t>Store model-specific facts and links. Prefer owner/manual source and effective model/version.</w:t>
            </w:r>
          </w:p>
        </w:tc>
      </w:tr>
      <w:tr>
        <w:trPr>
          <w:cantSplit w:val="1"/>
        </w:trPr>
        <w:tc>
          <w:tcPr>
            <w:tcW w:type="dxa" w:w="2592"/>
            <w:tcMar>
              <w:top w:w="70" w:type="dxa"/>
              <w:start w:w="90" w:type="dxa"/>
              <w:bottom w:w="70" w:type="dxa"/>
              <w:end w:w="90" w:type="dxa"/>
            </w:tcMar>
            <w:vAlign w:val="top"/>
          </w:tcPr>
          <w:p>
            <w:pPr>
              <w:spacing w:after="0" w:before="0"/>
            </w:pPr>
            <w:r/>
            <w:r>
              <w:rPr>
                <w:rFonts w:ascii="Aptos" w:hAnsi="Aptos"/>
                <w:b w:val="0"/>
                <w:color w:val="1D252C"/>
                <w:sz w:val="16"/>
              </w:rPr>
              <w:t>Commercial app patterns</w:t>
            </w:r>
          </w:p>
        </w:tc>
        <w:tc>
          <w:tcPr>
            <w:tcW w:type="dxa" w:w="8280"/>
            <w:tcMar>
              <w:top w:w="70" w:type="dxa"/>
              <w:start w:w="90" w:type="dxa"/>
              <w:bottom w:w="70" w:type="dxa"/>
              <w:end w:w="90" w:type="dxa"/>
            </w:tcMar>
            <w:vAlign w:val="top"/>
          </w:tcPr>
          <w:p>
            <w:pPr>
              <w:spacing w:after="0" w:before="0"/>
            </w:pPr>
            <w:r/>
            <w:r>
              <w:rPr>
                <w:rFonts w:ascii="Aptos" w:hAnsi="Aptos"/>
                <w:b w:val="0"/>
                <w:color w:val="1D252C"/>
                <w:sz w:val="16"/>
              </w:rPr>
              <w:t>Learn interaction/architecture concepts. Do not scrape proprietary user data or copy protected content.</w:t>
            </w:r>
          </w:p>
        </w:tc>
      </w:tr>
      <w:tr>
        <w:trPr>
          <w:cantSplit w:val="1"/>
        </w:trPr>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6"/>
              </w:rPr>
              <w:t>Routing/weather APIs</w:t>
            </w:r>
          </w:p>
        </w:tc>
        <w:tc>
          <w:tcPr>
            <w:tcW w:type="dxa" w:w="8280"/>
            <w:shd w:fill="FAFBFC"/>
            <w:tcMar>
              <w:top w:w="70" w:type="dxa"/>
              <w:start w:w="90" w:type="dxa"/>
              <w:bottom w:w="70" w:type="dxa"/>
              <w:end w:w="90" w:type="dxa"/>
            </w:tcMar>
            <w:vAlign w:val="top"/>
          </w:tcPr>
          <w:p>
            <w:pPr>
              <w:spacing w:after="0" w:before="0"/>
            </w:pPr>
            <w:r/>
            <w:r>
              <w:rPr>
                <w:rFonts w:ascii="Aptos" w:hAnsi="Aptos"/>
                <w:b w:val="0"/>
                <w:color w:val="1D252C"/>
                <w:sz w:val="16"/>
              </w:rPr>
              <w:t>Use approved APIs, field minimization, quotas, caching and terms. Store only operationally needed responses.</w:t>
            </w:r>
          </w:p>
        </w:tc>
      </w:tr>
    </w:tbl>
    <w:p>
      <w:pPr>
        <w:spacing w:after="20"/>
      </w:pPr>
    </w:p>
    <w:p>
      <w:pPr>
        <w:pStyle w:val="Heading1"/>
        <w:spacing w:before="200" w:after="80"/>
        <w:keepNext w:val="1"/>
      </w:pPr>
      <w:r>
        <w:t>11. Privacy, workforce trust and safety guardrails</w:t>
      </w:r>
    </w:p>
    <w:p>
      <w:pPr>
        <w:pStyle w:val="ListBullet"/>
        <w:spacing w:after="40" w:line="245" w:lineRule="auto"/>
        <w:ind w:left="259" w:hanging="173"/>
      </w:pPr>
      <w:r>
        <w:rPr>
          <w:rFonts w:ascii="Aptos" w:hAnsi="Aptos"/>
          <w:color w:val="1D252C"/>
          <w:sz w:val="18"/>
        </w:rPr>
        <w:t>No public parcel/deed enrichment in this workload feature. Current controlled privacy boundaries supersede earlier exploratory suggestions.</w:t>
      </w:r>
    </w:p>
    <w:p>
      <w:pPr>
        <w:pStyle w:val="ListBullet"/>
        <w:spacing w:after="40" w:line="245" w:lineRule="auto"/>
        <w:ind w:left="259" w:hanging="173"/>
      </w:pPr>
      <w:r>
        <w:rPr>
          <w:rFonts w:ascii="Aptos" w:hAnsi="Aptos"/>
          <w:color w:val="1D252C"/>
          <w:sz w:val="18"/>
        </w:rPr>
        <w:t>No cross-household data leakage. Fleet learning may use de-identified operational coefficients, never household instances or identifiable narrative.</w:t>
      </w:r>
    </w:p>
    <w:p>
      <w:pPr>
        <w:pStyle w:val="ListBullet"/>
        <w:spacing w:after="40" w:line="245" w:lineRule="auto"/>
        <w:ind w:left="259" w:hanging="173"/>
      </w:pPr>
      <w:r>
        <w:rPr>
          <w:rFonts w:ascii="Aptos" w:hAnsi="Aptos"/>
          <w:color w:val="1D252C"/>
          <w:sz w:val="18"/>
        </w:rPr>
        <w:t>Do not use protected or sensitive personal attributes to create household similarity cohorts. Use operational workload features only.</w:t>
      </w:r>
    </w:p>
    <w:p>
      <w:pPr>
        <w:pStyle w:val="ListBullet"/>
        <w:spacing w:after="40" w:line="245" w:lineRule="auto"/>
        <w:ind w:left="259" w:hanging="173"/>
      </w:pPr>
      <w:r>
        <w:rPr>
          <w:rFonts w:ascii="Aptos" w:hAnsi="Aptos"/>
          <w:color w:val="1D252C"/>
          <w:sz w:val="18"/>
        </w:rPr>
        <w:t>Geolocation should be event-based and purpose-limited. Do not build live tracking. Preserve manual correction and employee visibility into captured events.</w:t>
      </w:r>
    </w:p>
    <w:p>
      <w:pPr>
        <w:pStyle w:val="ListBullet"/>
        <w:spacing w:after="40" w:line="245" w:lineRule="auto"/>
        <w:ind w:left="259" w:hanging="173"/>
      </w:pPr>
      <w:r>
        <w:rPr>
          <w:rFonts w:ascii="Aptos" w:hAnsi="Aptos"/>
          <w:color w:val="1D252C"/>
          <w:sz w:val="18"/>
        </w:rPr>
        <w:t>Never auto-bill from a geofence or learned timer.</w:t>
      </w:r>
    </w:p>
    <w:p>
      <w:pPr>
        <w:pStyle w:val="ListBullet"/>
        <w:spacing w:after="40" w:line="245" w:lineRule="auto"/>
        <w:ind w:left="259" w:hanging="173"/>
      </w:pPr>
      <w:r>
        <w:rPr>
          <w:rFonts w:ascii="Aptos" w:hAnsi="Aptos"/>
          <w:color w:val="1D252C"/>
          <w:sz w:val="18"/>
        </w:rPr>
        <w:t>No employee speed rankings, revenue leaderboards or red/yellow/green performance scoring from duration. Existing governance says system findings are not performance conversations.</w:t>
      </w:r>
    </w:p>
    <w:p>
      <w:pPr>
        <w:pStyle w:val="ListBullet"/>
        <w:spacing w:after="40" w:line="245" w:lineRule="auto"/>
        <w:ind w:left="259" w:hanging="173"/>
      </w:pPr>
      <w:r>
        <w:rPr>
          <w:rFonts w:ascii="Aptos" w:hAnsi="Aptos"/>
          <w:color w:val="1D252C"/>
          <w:sz w:val="18"/>
        </w:rPr>
        <w:t>Task estimates must not encourage rushing. Completion standards and rework signals are part of the model.</w:t>
      </w:r>
    </w:p>
    <w:p>
      <w:pPr>
        <w:pStyle w:val="ListBullet"/>
        <w:spacing w:after="40" w:line="245" w:lineRule="auto"/>
        <w:ind w:left="259" w:hanging="173"/>
      </w:pPr>
      <w:r>
        <w:rPr>
          <w:rFonts w:ascii="Aptos" w:hAnsi="Aptos"/>
          <w:color w:val="1D252C"/>
          <w:sz w:val="18"/>
        </w:rPr>
        <w:t>HOM capacity self-report remains authoritative over model projections.</w:t>
      </w:r>
    </w:p>
    <w:p>
      <w:pPr>
        <w:pStyle w:val="ListBullet"/>
        <w:spacing w:after="40" w:line="245" w:lineRule="auto"/>
        <w:ind w:left="259" w:hanging="173"/>
      </w:pPr>
      <w:r>
        <w:rPr>
          <w:rFonts w:ascii="Aptos" w:hAnsi="Aptos"/>
          <w:color w:val="1D252C"/>
          <w:sz w:val="18"/>
        </w:rPr>
        <w:t>Generated schedules/recommendations must be explainable: show which constraints, estimates and evidence drove the recommendation.</w:t>
      </w:r>
    </w:p>
    <w:p>
      <w:pPr>
        <w:pStyle w:val="ListBullet"/>
        <w:spacing w:after="40" w:line="245" w:lineRule="auto"/>
        <w:ind w:left="259" w:hanging="173"/>
      </w:pPr>
      <w:r>
        <w:rPr>
          <w:rFonts w:ascii="Aptos" w:hAnsi="Aptos"/>
          <w:color w:val="1D252C"/>
          <w:sz w:val="18"/>
        </w:rPr>
        <w:t>Client surfaces should not expose internal workforce efficiency metrics. Only surface member-relevant status, decisions and agreed service information.</w:t>
      </w:r>
    </w:p>
    <w:p>
      <w:pPr>
        <w:pStyle w:val="Heading1"/>
        <w:spacing w:before="200" w:after="80"/>
        <w:keepNext w:val="1"/>
      </w:pPr>
      <w:r>
        <w:t>12. Implementation sequence</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7F3EA"/>
            <w:tcMar>
              <w:top w:w="100" w:type="dxa"/>
              <w:start w:w="140" w:type="dxa"/>
              <w:bottom w:w="100" w:type="dxa"/>
              <w:end w:w="140" w:type="dxa"/>
            </w:tcMar>
          </w:tcPr>
          <w:p>
            <w:pPr>
              <w:spacing w:after="40"/>
            </w:pPr>
            <w:r>
              <w:rPr>
                <w:rFonts w:ascii="Aptos Display" w:hAnsi="Aptos Display"/>
                <w:b/>
                <w:color w:val="B08D2A"/>
                <w:sz w:val="20"/>
              </w:rPr>
              <w:t>Do not assign controlled REQ numbers yet</w:t>
            </w:r>
          </w:p>
          <w:p>
            <w:pPr>
              <w:spacing w:after="0" w:line="247" w:lineRule="auto"/>
            </w:pPr>
            <w:r>
              <w:rPr>
                <w:rFonts w:ascii="Aptos" w:hAnsi="Aptos"/>
                <w:color w:val="1D252C"/>
                <w:sz w:val="18"/>
              </w:rPr>
              <w:t>Use the items below as RFC backlog IDs until Well Kept governance approves them and assigns official requirement numbers. This avoids collisions with the existing REQ register and respects the AR/post-AR gates already in the library.</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1"/>
        </w:trPr>
        <w:tc>
          <w:tcPr>
            <w:tcW w:type="dxa" w:w="1800"/>
            <w:shd w:fill="17324D"/>
            <w:tcMar>
              <w:top w:w="70" w:type="dxa"/>
              <w:start w:w="90" w:type="dxa"/>
              <w:bottom w:w="70" w:type="dxa"/>
              <w:end w:w="90" w:type="dxa"/>
            </w:tcMar>
            <w:vAlign w:val="center"/>
          </w:tcPr>
          <w:p>
            <w:pPr>
              <w:spacing w:after="0" w:before="0"/>
            </w:pPr>
            <w:r/>
            <w:r>
              <w:rPr>
                <w:rFonts w:ascii="Aptos" w:hAnsi="Aptos"/>
                <w:b/>
                <w:color w:val="FFFFFF"/>
                <w:sz w:val="16"/>
              </w:rPr>
              <w:t>Gate</w:t>
            </w:r>
          </w:p>
        </w:tc>
        <w:tc>
          <w:tcPr>
            <w:tcW w:type="dxa" w:w="1728"/>
            <w:shd w:fill="17324D"/>
            <w:tcMar>
              <w:top w:w="70" w:type="dxa"/>
              <w:start w:w="90" w:type="dxa"/>
              <w:bottom w:w="70" w:type="dxa"/>
              <w:end w:w="90" w:type="dxa"/>
            </w:tcMar>
            <w:vAlign w:val="center"/>
          </w:tcPr>
          <w:p>
            <w:pPr>
              <w:spacing w:after="0" w:before="0"/>
            </w:pPr>
            <w:r/>
            <w:r>
              <w:rPr>
                <w:rFonts w:ascii="Aptos" w:hAnsi="Aptos"/>
                <w:b/>
                <w:color w:val="FFFFFF"/>
                <w:sz w:val="16"/>
              </w:rPr>
              <w:t>Backlog label</w:t>
            </w:r>
          </w:p>
        </w:tc>
        <w:tc>
          <w:tcPr>
            <w:tcW w:type="dxa" w:w="5544"/>
            <w:shd w:fill="17324D"/>
            <w:tcMar>
              <w:top w:w="70" w:type="dxa"/>
              <w:start w:w="90" w:type="dxa"/>
              <w:bottom w:w="70" w:type="dxa"/>
              <w:end w:w="90" w:type="dxa"/>
            </w:tcMar>
            <w:vAlign w:val="center"/>
          </w:tcPr>
          <w:p>
            <w:pPr>
              <w:spacing w:after="0" w:before="0"/>
            </w:pPr>
            <w:r/>
            <w:r>
              <w:rPr>
                <w:rFonts w:ascii="Aptos" w:hAnsi="Aptos"/>
                <w:b/>
                <w:color w:val="FFFFFF"/>
                <w:sz w:val="16"/>
              </w:rPr>
              <w:t>Build</w:t>
            </w:r>
          </w:p>
        </w:tc>
        <w:tc>
          <w:tcPr>
            <w:tcW w:type="dxa" w:w="2592"/>
            <w:shd w:fill="17324D"/>
            <w:tcMar>
              <w:top w:w="70" w:type="dxa"/>
              <w:start w:w="90" w:type="dxa"/>
              <w:bottom w:w="70" w:type="dxa"/>
              <w:end w:w="90" w:type="dxa"/>
            </w:tcMar>
            <w:vAlign w:val="center"/>
          </w:tcPr>
          <w:p>
            <w:pPr>
              <w:spacing w:after="0" w:before="0"/>
            </w:pPr>
            <w:r/>
            <w:r>
              <w:rPr>
                <w:rFonts w:ascii="Aptos" w:hAnsi="Aptos"/>
                <w:b/>
                <w:color w:val="FFFFFF"/>
                <w:sz w:val="16"/>
              </w:rPr>
              <w:t>Exit condition</w:t>
            </w:r>
          </w:p>
        </w:tc>
      </w:tr>
      <w:tr>
        <w:trPr>
          <w:cantSplit w:val="1"/>
        </w:trPr>
        <w:tc>
          <w:tcPr>
            <w:tcW w:type="dxa" w:w="1800"/>
            <w:tcMar>
              <w:top w:w="70" w:type="dxa"/>
              <w:start w:w="90" w:type="dxa"/>
              <w:bottom w:w="70" w:type="dxa"/>
              <w:end w:w="90" w:type="dxa"/>
            </w:tcMar>
            <w:vAlign w:val="top"/>
          </w:tcPr>
          <w:p>
            <w:pPr>
              <w:spacing w:after="0" w:before="0"/>
            </w:pPr>
            <w:r/>
            <w:r>
              <w:rPr>
                <w:rFonts w:ascii="Aptos" w:hAnsi="Aptos"/>
                <w:b w:val="0"/>
                <w:color w:val="1D252C"/>
                <w:sz w:val="15"/>
              </w:rPr>
              <w:t>Gate 0: governance and schema reconciliation</w:t>
            </w:r>
          </w:p>
        </w:tc>
        <w:tc>
          <w:tcPr>
            <w:tcW w:type="dxa" w:w="1728"/>
            <w:tcMar>
              <w:top w:w="70" w:type="dxa"/>
              <w:start w:w="90" w:type="dxa"/>
              <w:bottom w:w="70" w:type="dxa"/>
              <w:end w:w="90" w:type="dxa"/>
            </w:tcMar>
            <w:vAlign w:val="top"/>
          </w:tcPr>
          <w:p>
            <w:pPr>
              <w:spacing w:after="0" w:before="0"/>
            </w:pPr>
            <w:r/>
            <w:r>
              <w:rPr>
                <w:rFonts w:ascii="Aptos" w:hAnsi="Aptos"/>
                <w:b w:val="0"/>
                <w:color w:val="1D252C"/>
                <w:sz w:val="15"/>
              </w:rPr>
              <w:t>RFC-WL-001 to 004</w:t>
            </w:r>
          </w:p>
        </w:tc>
        <w:tc>
          <w:tcPr>
            <w:tcW w:type="dxa" w:w="5544"/>
            <w:tcMar>
              <w:top w:w="70" w:type="dxa"/>
              <w:start w:w="90" w:type="dxa"/>
              <w:bottom w:w="70" w:type="dxa"/>
              <w:end w:w="90" w:type="dxa"/>
            </w:tcMar>
            <w:vAlign w:val="top"/>
          </w:tcPr>
          <w:p>
            <w:pPr>
              <w:spacing w:after="0" w:before="0"/>
            </w:pPr>
            <w:r/>
            <w:r>
              <w:rPr>
                <w:rFonts w:ascii="Aptos" w:hAnsi="Aptos"/>
                <w:b w:val="0"/>
                <w:color w:val="1D252C"/>
                <w:sz w:val="15"/>
              </w:rPr>
              <w:t>Approve object boundaries; confirm Task ID canonical source; map links to Standards Store, Temporal Layer, Decision Rights and current trigger schema; confirm privacy/legal source policies.</w:t>
            </w:r>
          </w:p>
        </w:tc>
        <w:tc>
          <w:tcPr>
            <w:tcW w:type="dxa" w:w="2592"/>
            <w:tcMar>
              <w:top w:w="70" w:type="dxa"/>
              <w:start w:w="90" w:type="dxa"/>
              <w:bottom w:w="70" w:type="dxa"/>
              <w:end w:w="90" w:type="dxa"/>
            </w:tcMar>
            <w:vAlign w:val="top"/>
          </w:tcPr>
          <w:p>
            <w:pPr>
              <w:spacing w:after="0" w:before="0"/>
            </w:pPr>
            <w:r/>
            <w:r>
              <w:rPr>
                <w:rFonts w:ascii="Aptos" w:hAnsi="Aptos"/>
                <w:b w:val="0"/>
                <w:color w:val="1D252C"/>
                <w:sz w:val="15"/>
              </w:rPr>
              <w:t>No production behavior changes.</w:t>
            </w:r>
          </w:p>
        </w:tc>
      </w:tr>
      <w:tr>
        <w:trPr>
          <w:cantSplit w:val="1"/>
        </w:trPr>
        <w:tc>
          <w:tcPr>
            <w:tcW w:type="dxa" w:w="1800"/>
            <w:shd w:fill="FAFBFC"/>
            <w:tcMar>
              <w:top w:w="70" w:type="dxa"/>
              <w:start w:w="90" w:type="dxa"/>
              <w:bottom w:w="70" w:type="dxa"/>
              <w:end w:w="90" w:type="dxa"/>
            </w:tcMar>
            <w:vAlign w:val="top"/>
          </w:tcPr>
          <w:p>
            <w:pPr>
              <w:spacing w:after="0" w:before="0"/>
            </w:pPr>
            <w:r/>
            <w:r>
              <w:rPr>
                <w:rFonts w:ascii="Aptos" w:hAnsi="Aptos"/>
                <w:b w:val="0"/>
                <w:color w:val="1D252C"/>
                <w:sz w:val="15"/>
              </w:rPr>
              <w:t>Gate 1: instrumentation foundation</w:t>
            </w:r>
          </w:p>
        </w:tc>
        <w:tc>
          <w:tcPr>
            <w:tcW w:type="dxa" w:w="1728"/>
            <w:shd w:fill="FAFBFC"/>
            <w:tcMar>
              <w:top w:w="70" w:type="dxa"/>
              <w:start w:w="90" w:type="dxa"/>
              <w:bottom w:w="70" w:type="dxa"/>
              <w:end w:w="90" w:type="dxa"/>
            </w:tcMar>
            <w:vAlign w:val="top"/>
          </w:tcPr>
          <w:p>
            <w:pPr>
              <w:spacing w:after="0" w:before="0"/>
            </w:pPr>
            <w:r/>
            <w:r>
              <w:rPr>
                <w:rFonts w:ascii="Aptos" w:hAnsi="Aptos"/>
                <w:b w:val="0"/>
                <w:color w:val="1D252C"/>
                <w:sz w:val="15"/>
              </w:rPr>
              <w:t>RFC-WL-005 to 012</w:t>
            </w:r>
          </w:p>
        </w:tc>
        <w:tc>
          <w:tcPr>
            <w:tcW w:type="dxa" w:w="5544"/>
            <w:shd w:fill="FAFBFC"/>
            <w:tcMar>
              <w:top w:w="70" w:type="dxa"/>
              <w:start w:w="90" w:type="dxa"/>
              <w:bottom w:w="70" w:type="dxa"/>
              <w:end w:w="90" w:type="dxa"/>
            </w:tcMar>
            <w:vAlign w:val="top"/>
          </w:tcPr>
          <w:p>
            <w:pPr>
              <w:spacing w:after="0" w:before="0"/>
            </w:pPr>
            <w:r/>
            <w:r>
              <w:rPr>
                <w:rFonts w:ascii="Aptos" w:hAnsi="Aptos"/>
                <w:b w:val="0"/>
                <w:color w:val="1D252C"/>
                <w:sz w:val="15"/>
              </w:rPr>
              <w:t>Task Evidence Store, Source Registry, Household Task Profile, Work Requirement, Estimate Snapshot, Task Occurrence, Time Segment, variance codes; extend close-flow persistence and audit.</w:t>
            </w:r>
          </w:p>
        </w:tc>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5"/>
              </w:rPr>
              <w:t>Can capture evidence and actuals without forecasting.</w:t>
            </w:r>
          </w:p>
        </w:tc>
      </w:tr>
      <w:tr>
        <w:trPr>
          <w:cantSplit w:val="1"/>
        </w:trPr>
        <w:tc>
          <w:tcPr>
            <w:tcW w:type="dxa" w:w="1800"/>
            <w:tcMar>
              <w:top w:w="70" w:type="dxa"/>
              <w:start w:w="90" w:type="dxa"/>
              <w:bottom w:w="70" w:type="dxa"/>
              <w:end w:w="90" w:type="dxa"/>
            </w:tcMar>
            <w:vAlign w:val="top"/>
          </w:tcPr>
          <w:p>
            <w:pPr>
              <w:spacing w:after="0" w:before="0"/>
            </w:pPr>
            <w:r/>
            <w:r>
              <w:rPr>
                <w:rFonts w:ascii="Aptos" w:hAnsi="Aptos"/>
                <w:b w:val="0"/>
                <w:color w:val="1D252C"/>
                <w:sz w:val="15"/>
              </w:rPr>
              <w:t>Gate 2: estimator and calibration</w:t>
            </w:r>
          </w:p>
        </w:tc>
        <w:tc>
          <w:tcPr>
            <w:tcW w:type="dxa" w:w="1728"/>
            <w:tcMar>
              <w:top w:w="70" w:type="dxa"/>
              <w:start w:w="90" w:type="dxa"/>
              <w:bottom w:w="70" w:type="dxa"/>
              <w:end w:w="90" w:type="dxa"/>
            </w:tcMar>
            <w:vAlign w:val="top"/>
          </w:tcPr>
          <w:p>
            <w:pPr>
              <w:spacing w:after="0" w:before="0"/>
            </w:pPr>
            <w:r/>
            <w:r>
              <w:rPr>
                <w:rFonts w:ascii="Aptos" w:hAnsi="Aptos"/>
                <w:b w:val="0"/>
                <w:color w:val="1D252C"/>
                <w:sz w:val="15"/>
              </w:rPr>
              <w:t>RFC-WL-013 to 020</w:t>
            </w:r>
          </w:p>
        </w:tc>
        <w:tc>
          <w:tcPr>
            <w:tcW w:type="dxa" w:w="5544"/>
            <w:tcMar>
              <w:top w:w="70" w:type="dxa"/>
              <w:start w:w="90" w:type="dxa"/>
              <w:bottom w:w="70" w:type="dxa"/>
              <w:end w:w="90" w:type="dxa"/>
            </w:tcMar>
            <w:vAlign w:val="top"/>
          </w:tcPr>
          <w:p>
            <w:pPr>
              <w:spacing w:after="0" w:before="0"/>
            </w:pPr>
            <w:r/>
            <w:r>
              <w:rPr>
                <w:rFonts w:ascii="Aptos" w:hAnsi="Aptos"/>
                <w:b w:val="0"/>
                <w:color w:val="1D252C"/>
                <w:sz w:val="15"/>
              </w:rPr>
              <w:t>Estimate hierarchy, conservative fallback, confidence, P50/P80, quantity functions, eligible-for-learning logic, household calibration views, external priors/manual source entry.</w:t>
            </w:r>
          </w:p>
        </w:tc>
        <w:tc>
          <w:tcPr>
            <w:tcW w:type="dxa" w:w="2592"/>
            <w:tcMar>
              <w:top w:w="70" w:type="dxa"/>
              <w:start w:w="90" w:type="dxa"/>
              <w:bottom w:w="70" w:type="dxa"/>
              <w:end w:w="90" w:type="dxa"/>
            </w:tcMar>
            <w:vAlign w:val="top"/>
          </w:tcPr>
          <w:p>
            <w:pPr>
              <w:spacing w:after="0" w:before="0"/>
            </w:pPr>
            <w:r/>
            <w:r>
              <w:rPr>
                <w:rFonts w:ascii="Aptos" w:hAnsi="Aptos"/>
                <w:b w:val="0"/>
                <w:color w:val="1D252C"/>
                <w:sz w:val="15"/>
              </w:rPr>
              <w:t>Every active task can return a traceable estimate or low-confidence fallback.</w:t>
            </w:r>
          </w:p>
        </w:tc>
      </w:tr>
      <w:tr>
        <w:trPr>
          <w:cantSplit w:val="1"/>
        </w:trPr>
        <w:tc>
          <w:tcPr>
            <w:tcW w:type="dxa" w:w="1800"/>
            <w:shd w:fill="FAFBFC"/>
            <w:tcMar>
              <w:top w:w="70" w:type="dxa"/>
              <w:start w:w="90" w:type="dxa"/>
              <w:bottom w:w="70" w:type="dxa"/>
              <w:end w:w="90" w:type="dxa"/>
            </w:tcMar>
            <w:vAlign w:val="top"/>
          </w:tcPr>
          <w:p>
            <w:pPr>
              <w:spacing w:after="0" w:before="0"/>
            </w:pPr>
            <w:r/>
            <w:r>
              <w:rPr>
                <w:rFonts w:ascii="Aptos" w:hAnsi="Aptos"/>
                <w:b w:val="0"/>
                <w:color w:val="1D252C"/>
                <w:sz w:val="15"/>
              </w:rPr>
              <w:t>Gate 3: occurrence + workload forecast</w:t>
            </w:r>
          </w:p>
        </w:tc>
        <w:tc>
          <w:tcPr>
            <w:tcW w:type="dxa" w:w="1728"/>
            <w:shd w:fill="FAFBFC"/>
            <w:tcMar>
              <w:top w:w="70" w:type="dxa"/>
              <w:start w:w="90" w:type="dxa"/>
              <w:bottom w:w="70" w:type="dxa"/>
              <w:end w:w="90" w:type="dxa"/>
            </w:tcMar>
            <w:vAlign w:val="top"/>
          </w:tcPr>
          <w:p>
            <w:pPr>
              <w:spacing w:after="0" w:before="0"/>
            </w:pPr>
            <w:r/>
            <w:r>
              <w:rPr>
                <w:rFonts w:ascii="Aptos" w:hAnsi="Aptos"/>
                <w:b w:val="0"/>
                <w:color w:val="1D252C"/>
                <w:sz w:val="15"/>
              </w:rPr>
              <w:t>RFC-WL-021 to 028</w:t>
            </w:r>
          </w:p>
        </w:tc>
        <w:tc>
          <w:tcPr>
            <w:tcW w:type="dxa" w:w="5544"/>
            <w:shd w:fill="FAFBFC"/>
            <w:tcMar>
              <w:top w:w="70" w:type="dxa"/>
              <w:start w:w="90" w:type="dxa"/>
              <w:bottom w:w="70" w:type="dxa"/>
              <w:end w:w="90" w:type="dxa"/>
            </w:tcMar>
            <w:vAlign w:val="top"/>
          </w:tcPr>
          <w:p>
            <w:pPr>
              <w:spacing w:after="0" w:before="0"/>
            </w:pPr>
            <w:r/>
            <w:r>
              <w:rPr>
                <w:rFonts w:ascii="Aptos" w:hAnsi="Aptos"/>
                <w:b w:val="0"/>
                <w:color w:val="1D252C"/>
                <w:sz w:val="15"/>
              </w:rPr>
              <w:t>Occurrence generator from cadence/trigger/open loop/temporal clocks; household 8-12 week forecast; capacity snapshots; data quality flags; public feed hooks.</w:t>
            </w:r>
          </w:p>
        </w:tc>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5"/>
              </w:rPr>
              <w:t>Corporate can see future workload without schedule optimization.</w:t>
            </w:r>
          </w:p>
        </w:tc>
      </w:tr>
      <w:tr>
        <w:trPr>
          <w:cantSplit w:val="1"/>
        </w:trPr>
        <w:tc>
          <w:tcPr>
            <w:tcW w:type="dxa" w:w="1800"/>
            <w:tcMar>
              <w:top w:w="70" w:type="dxa"/>
              <w:start w:w="90" w:type="dxa"/>
              <w:bottom w:w="70" w:type="dxa"/>
              <w:end w:w="90" w:type="dxa"/>
            </w:tcMar>
            <w:vAlign w:val="top"/>
          </w:tcPr>
          <w:p>
            <w:pPr>
              <w:spacing w:after="0" w:before="0"/>
            </w:pPr>
            <w:r/>
            <w:r>
              <w:rPr>
                <w:rFonts w:ascii="Aptos" w:hAnsi="Aptos"/>
                <w:b w:val="0"/>
                <w:color w:val="1D252C"/>
                <w:sz w:val="15"/>
              </w:rPr>
              <w:t>Gate 4: decision support</w:t>
            </w:r>
          </w:p>
        </w:tc>
        <w:tc>
          <w:tcPr>
            <w:tcW w:type="dxa" w:w="1728"/>
            <w:tcMar>
              <w:top w:w="70" w:type="dxa"/>
              <w:start w:w="90" w:type="dxa"/>
              <w:bottom w:w="70" w:type="dxa"/>
              <w:end w:w="90" w:type="dxa"/>
            </w:tcMar>
            <w:vAlign w:val="top"/>
          </w:tcPr>
          <w:p>
            <w:pPr>
              <w:spacing w:after="0" w:before="0"/>
            </w:pPr>
            <w:r/>
            <w:r>
              <w:rPr>
                <w:rFonts w:ascii="Aptos" w:hAnsi="Aptos"/>
                <w:b w:val="0"/>
                <w:color w:val="1D252C"/>
                <w:sz w:val="15"/>
              </w:rPr>
              <w:t>RFC-WL-029 to 035</w:t>
            </w:r>
          </w:p>
        </w:tc>
        <w:tc>
          <w:tcPr>
            <w:tcW w:type="dxa" w:w="5544"/>
            <w:tcMar>
              <w:top w:w="70" w:type="dxa"/>
              <w:start w:w="90" w:type="dxa"/>
              <w:bottom w:w="70" w:type="dxa"/>
              <w:end w:w="90" w:type="dxa"/>
            </w:tcMar>
            <w:vAlign w:val="top"/>
          </w:tcPr>
          <w:p>
            <w:pPr>
              <w:spacing w:after="0" w:before="0"/>
            </w:pPr>
            <w:r/>
            <w:r>
              <w:rPr>
                <w:rFonts w:ascii="Aptos" w:hAnsi="Aptos"/>
                <w:b w:val="0"/>
                <w:color w:val="1D252C"/>
                <w:sz w:val="15"/>
              </w:rPr>
              <w:t>Route/access estimates, dwell micro-window recommendations, manual schedule board support, scenario simulator, continuity/backup risk, economic instrumentation.</w:t>
            </w:r>
          </w:p>
        </w:tc>
        <w:tc>
          <w:tcPr>
            <w:tcW w:type="dxa" w:w="2592"/>
            <w:tcMar>
              <w:top w:w="70" w:type="dxa"/>
              <w:start w:w="90" w:type="dxa"/>
              <w:bottom w:w="70" w:type="dxa"/>
              <w:end w:w="90" w:type="dxa"/>
            </w:tcMar>
            <w:vAlign w:val="top"/>
          </w:tcPr>
          <w:p>
            <w:pPr>
              <w:spacing w:after="0" w:before="0"/>
            </w:pPr>
            <w:r/>
            <w:r>
              <w:rPr>
                <w:rFonts w:ascii="Aptos" w:hAnsi="Aptos"/>
                <w:b w:val="0"/>
                <w:color w:val="1D252C"/>
                <w:sz w:val="15"/>
              </w:rPr>
              <w:t>Human dispatcher/founder remains decision maker.</w:t>
            </w:r>
          </w:p>
        </w:tc>
      </w:tr>
      <w:tr>
        <w:trPr>
          <w:cantSplit w:val="1"/>
        </w:trPr>
        <w:tc>
          <w:tcPr>
            <w:tcW w:type="dxa" w:w="1800"/>
            <w:shd w:fill="FAFBFC"/>
            <w:tcMar>
              <w:top w:w="70" w:type="dxa"/>
              <w:start w:w="90" w:type="dxa"/>
              <w:bottom w:w="70" w:type="dxa"/>
              <w:end w:w="90" w:type="dxa"/>
            </w:tcMar>
            <w:vAlign w:val="top"/>
          </w:tcPr>
          <w:p>
            <w:pPr>
              <w:spacing w:after="0" w:before="0"/>
            </w:pPr>
            <w:r/>
            <w:r>
              <w:rPr>
                <w:rFonts w:ascii="Aptos" w:hAnsi="Aptos"/>
                <w:b w:val="0"/>
                <w:color w:val="1D252C"/>
                <w:sz w:val="15"/>
              </w:rPr>
              <w:t>Gate 5: later scheduling recommendations</w:t>
            </w:r>
          </w:p>
        </w:tc>
        <w:tc>
          <w:tcPr>
            <w:tcW w:type="dxa" w:w="1728"/>
            <w:shd w:fill="FAFBFC"/>
            <w:tcMar>
              <w:top w:w="70" w:type="dxa"/>
              <w:start w:w="90" w:type="dxa"/>
              <w:bottom w:w="70" w:type="dxa"/>
              <w:end w:w="90" w:type="dxa"/>
            </w:tcMar>
            <w:vAlign w:val="top"/>
          </w:tcPr>
          <w:p>
            <w:pPr>
              <w:spacing w:after="0" w:before="0"/>
            </w:pPr>
            <w:r/>
            <w:r>
              <w:rPr>
                <w:rFonts w:ascii="Aptos" w:hAnsi="Aptos"/>
                <w:b w:val="0"/>
                <w:color w:val="1D252C"/>
                <w:sz w:val="15"/>
              </w:rPr>
              <w:t>RFC-WL-036+</w:t>
            </w:r>
          </w:p>
        </w:tc>
        <w:tc>
          <w:tcPr>
            <w:tcW w:type="dxa" w:w="5544"/>
            <w:shd w:fill="FAFBFC"/>
            <w:tcMar>
              <w:top w:w="70" w:type="dxa"/>
              <w:start w:w="90" w:type="dxa"/>
              <w:bottom w:w="70" w:type="dxa"/>
              <w:end w:w="90" w:type="dxa"/>
            </w:tcMar>
            <w:vAlign w:val="top"/>
          </w:tcPr>
          <w:p>
            <w:pPr>
              <w:spacing w:after="0" w:before="0"/>
            </w:pPr>
            <w:r/>
            <w:r>
              <w:rPr>
                <w:rFonts w:ascii="Aptos" w:hAnsi="Aptos"/>
                <w:b w:val="0"/>
                <w:color w:val="1D252C"/>
                <w:sz w:val="15"/>
              </w:rPr>
              <w:t>Hard/soft constraint evaluation and explainable candidate schedule suggestions. Review before apply.</w:t>
            </w:r>
          </w:p>
        </w:tc>
        <w:tc>
          <w:tcPr>
            <w:tcW w:type="dxa" w:w="2592"/>
            <w:shd w:fill="FAFBFC"/>
            <w:tcMar>
              <w:top w:w="70" w:type="dxa"/>
              <w:start w:w="90" w:type="dxa"/>
              <w:bottom w:w="70" w:type="dxa"/>
              <w:end w:w="90" w:type="dxa"/>
            </w:tcMar>
            <w:vAlign w:val="top"/>
          </w:tcPr>
          <w:p>
            <w:pPr>
              <w:spacing w:after="0" w:before="0"/>
            </w:pPr>
            <w:r/>
            <w:r>
              <w:rPr>
                <w:rFonts w:ascii="Aptos" w:hAnsi="Aptos"/>
                <w:b w:val="0"/>
                <w:color w:val="1D252C"/>
                <w:sz w:val="15"/>
              </w:rPr>
              <w:t>Only after data-quality and governance evidence gate.</w:t>
            </w:r>
          </w:p>
        </w:tc>
      </w:tr>
      <w:tr>
        <w:trPr>
          <w:cantSplit w:val="1"/>
        </w:trPr>
        <w:tc>
          <w:tcPr>
            <w:tcW w:type="dxa" w:w="1800"/>
            <w:tcMar>
              <w:top w:w="70" w:type="dxa"/>
              <w:start w:w="90" w:type="dxa"/>
              <w:bottom w:w="70" w:type="dxa"/>
              <w:end w:w="90" w:type="dxa"/>
            </w:tcMar>
            <w:vAlign w:val="top"/>
          </w:tcPr>
          <w:p>
            <w:pPr>
              <w:spacing w:after="0" w:before="0"/>
            </w:pPr>
            <w:r/>
            <w:r>
              <w:rPr>
                <w:rFonts w:ascii="Aptos" w:hAnsi="Aptos"/>
                <w:b w:val="0"/>
                <w:color w:val="1D252C"/>
                <w:sz w:val="15"/>
              </w:rPr>
              <w:t>Gate 6: autonomous optimization if ever approved</w:t>
            </w:r>
          </w:p>
        </w:tc>
        <w:tc>
          <w:tcPr>
            <w:tcW w:type="dxa" w:w="1728"/>
            <w:tcMar>
              <w:top w:w="70" w:type="dxa"/>
              <w:start w:w="90" w:type="dxa"/>
              <w:bottom w:w="70" w:type="dxa"/>
              <w:end w:w="90" w:type="dxa"/>
            </w:tcMar>
            <w:vAlign w:val="top"/>
          </w:tcPr>
          <w:p>
            <w:pPr>
              <w:spacing w:after="0" w:before="0"/>
            </w:pPr>
            <w:r/>
            <w:r>
              <w:rPr>
                <w:rFonts w:ascii="Aptos" w:hAnsi="Aptos"/>
                <w:b w:val="0"/>
                <w:color w:val="1D252C"/>
                <w:sz w:val="15"/>
              </w:rPr>
              <w:t>Separate future ADR</w:t>
            </w:r>
          </w:p>
        </w:tc>
        <w:tc>
          <w:tcPr>
            <w:tcW w:type="dxa" w:w="5544"/>
            <w:tcMar>
              <w:top w:w="70" w:type="dxa"/>
              <w:start w:w="90" w:type="dxa"/>
              <w:bottom w:w="70" w:type="dxa"/>
              <w:end w:w="90" w:type="dxa"/>
            </w:tcMar>
            <w:vAlign w:val="top"/>
          </w:tcPr>
          <w:p>
            <w:pPr>
              <w:spacing w:after="0" w:before="0"/>
            </w:pPr>
            <w:r/>
            <w:r>
              <w:rPr>
                <w:rFonts w:ascii="Aptos" w:hAnsi="Aptos"/>
                <w:b w:val="0"/>
                <w:color w:val="1D252C"/>
                <w:sz w:val="15"/>
              </w:rPr>
              <w:t>Weighted objectives, schedule churn controls, intraday reoptimization, batch plans.</w:t>
            </w:r>
          </w:p>
        </w:tc>
        <w:tc>
          <w:tcPr>
            <w:tcW w:type="dxa" w:w="2592"/>
            <w:tcMar>
              <w:top w:w="70" w:type="dxa"/>
              <w:start w:w="90" w:type="dxa"/>
              <w:bottom w:w="70" w:type="dxa"/>
              <w:end w:w="90" w:type="dxa"/>
            </w:tcMar>
            <w:vAlign w:val="top"/>
          </w:tcPr>
          <w:p>
            <w:pPr>
              <w:spacing w:after="0" w:before="0"/>
            </w:pPr>
            <w:r/>
            <w:r>
              <w:rPr>
                <w:rFonts w:ascii="Aptos" w:hAnsi="Aptos"/>
                <w:b w:val="0"/>
                <w:color w:val="1D252C"/>
                <w:sz w:val="15"/>
              </w:rPr>
              <w:t>Explicitly outside v1 and not implied by this brief.</w:t>
            </w:r>
          </w:p>
        </w:tc>
      </w:tr>
    </w:tbl>
    <w:p>
      <w:pPr>
        <w:spacing w:after="20"/>
      </w:pPr>
    </w:p>
    <w:p>
      <w:pPr>
        <w:pStyle w:val="Heading2"/>
        <w:spacing w:before="140" w:after="80"/>
        <w:keepNext w:val="1"/>
      </w:pPr>
      <w:r>
        <w:t>12.1 Candidate RFC backlog</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1656"/>
            <w:shd w:fill="17324D"/>
            <w:tcMar>
              <w:top w:w="70" w:type="dxa"/>
              <w:start w:w="90" w:type="dxa"/>
              <w:bottom w:w="70" w:type="dxa"/>
              <w:end w:w="90" w:type="dxa"/>
            </w:tcMar>
            <w:vAlign w:val="center"/>
          </w:tcPr>
          <w:p>
            <w:pPr>
              <w:spacing w:after="0" w:before="0"/>
            </w:pPr>
            <w:r/>
            <w:r>
              <w:rPr>
                <w:rFonts w:ascii="Aptos" w:hAnsi="Aptos"/>
                <w:b/>
                <w:color w:val="FFFFFF"/>
                <w:sz w:val="16"/>
              </w:rPr>
              <w:t>RFC</w:t>
            </w:r>
          </w:p>
        </w:tc>
        <w:tc>
          <w:tcPr>
            <w:tcW w:type="dxa" w:w="9216"/>
            <w:shd w:fill="17324D"/>
            <w:tcMar>
              <w:top w:w="70" w:type="dxa"/>
              <w:start w:w="90" w:type="dxa"/>
              <w:bottom w:w="70" w:type="dxa"/>
              <w:end w:w="90" w:type="dxa"/>
            </w:tcMar>
            <w:vAlign w:val="center"/>
          </w:tcPr>
          <w:p>
            <w:pPr>
              <w:spacing w:after="0" w:before="0"/>
            </w:pPr>
            <w:r/>
            <w:r>
              <w:rPr>
                <w:rFonts w:ascii="Aptos" w:hAnsi="Aptos"/>
                <w:b/>
                <w:color w:val="FFFFFF"/>
                <w:sz w:val="16"/>
              </w:rPr>
              <w:t>Candidate requirement</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RFC-WL-001</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Create canonical `task_evidence` and `evidence_source` schemas with versioning, fit, measurement type and rights metadata.</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RFC-WL-002</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Create `household_task_profile` keyed by household_id + task_id, linked to governing standards and Playbook/Temporal fields.</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RFC-WL-003</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Create date-specific `work_requirement` with lifecycle, time windows, decision state, hard constraints and soft preferences.</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RFC-WL-004</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Create immutable `estimate_snapshot` with source hierarchy, inputs, evidence IDs, coefficients, version and explanation.</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RFC-WL-005</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Create `task_occurrence` and typed `execution_segment` actuals, designed for offline sync and edit audit.</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RFC-WL-006</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Add controlled variance codes and `eligible_for_baseline_learning` state.</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RFC-WL-007</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Extend current close flow to summarize actuals while adding minimal new taps.</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RFC-WL-008</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Extend current timer-free arrival/leave feature with event provenance and manual correction; preserve never-auto-bill rule.</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RFC-WL-009</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Implement deterministic estimate fallback that cannot return zero/blank for active schedulable work.</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RFC-WL-010</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Implement confidence and estimate explanation with sample count, recency, boundary match and variance.</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RFC-WL-011</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Implement household-specific empirical estimate profiles, preserving method/configuration version.</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RFC-WL-012</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Implement quantity model interface supporting fixed + unit, piecewise, categorical and empirical functions.</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RFC-WL-013</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Implement Work Requirement generation from cadence, Temporal Layer, triggers, open loops, accepted offers and manual entry.</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RFC-WL-014</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Implement typed dependency graph and parallelization flags.</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RFC-WL-015</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Structure missing collision fields: person availability, transport requirement, space availability, authority reachability and household load.</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RFC-WL-016</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Create HOM resource profile extensions for skills, territory/cluster, primary/backup household relationships and availability.</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RFC-WL-017</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Implement household workload forecast with P50/P80 and separated active/remote/wait/access components.</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RFC-WL-018</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Implement HOM book capacity snapshot with structural reserve and authoritative HOM self-report override.</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RFC-WL-019</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Create forecast data-quality flags for unknown/stale/low-confidence inputs.</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RFC-WL-020</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Create source refresh / retirement workflow; historical estimate snapshots retain source version used.</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RFC-WL-021</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Integrate Google Routes or approved equivalent for point-to-point and route-matrix planning; store route response minimally.</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RFC-WL-022</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Learn per-household access overhead separately from drive time.</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RFC-WL-023</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Add approved public feed connectors for weather/school/municipal clocks using current trigger governance.</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RFC-WL-024</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Add asset/model clock registry for manufacturer dwell and maintenance rules.</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RFC-WL-025</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Add micro-window suggestion engine using dwell, zone/context, dependencies and decision readiness.</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RFC-WL-026</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Add correlated task-bundle definitions and bundle instances for travel, hosting, school, weather and other governed runways.</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RFC-WL-027</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Add read-only scenario simulator using copied forecast snapshots.</w:t>
            </w:r>
          </w:p>
        </w:tc>
      </w:tr>
      <w:tr>
        <w:trPr>
          <w:cantSplit w:val="1"/>
        </w:trPr>
        <w:tc>
          <w:tcPr>
            <w:tcW w:type="dxa" w:w="1656"/>
            <w:shd w:fill="FAFBFC"/>
            <w:tcMar>
              <w:top w:w="70" w:type="dxa"/>
              <w:start w:w="90" w:type="dxa"/>
              <w:bottom w:w="70" w:type="dxa"/>
              <w:end w:w="90" w:type="dxa"/>
            </w:tcMar>
            <w:vAlign w:val="top"/>
          </w:tcPr>
          <w:p>
            <w:pPr>
              <w:spacing w:after="0" w:before="0"/>
            </w:pPr>
            <w:r/>
            <w:r>
              <w:rPr>
                <w:rFonts w:ascii="Aptos" w:hAnsi="Aptos"/>
                <w:b w:val="0"/>
                <w:color w:val="1D252C"/>
                <w:sz w:val="16"/>
              </w:rPr>
              <w:t>RFC-WL-028</w:t>
            </w:r>
          </w:p>
        </w:tc>
        <w:tc>
          <w:tcPr>
            <w:tcW w:type="dxa" w:w="9216"/>
            <w:shd w:fill="FAFBFC"/>
            <w:tcMar>
              <w:top w:w="70" w:type="dxa"/>
              <w:start w:w="90" w:type="dxa"/>
              <w:bottom w:w="70" w:type="dxa"/>
              <w:end w:w="90" w:type="dxa"/>
            </w:tcMar>
            <w:vAlign w:val="top"/>
          </w:tcPr>
          <w:p>
            <w:pPr>
              <w:spacing w:after="0" w:before="0"/>
            </w:pPr>
            <w:r/>
            <w:r>
              <w:rPr>
                <w:rFonts w:ascii="Aptos" w:hAnsi="Aptos"/>
                <w:b w:val="0"/>
                <w:color w:val="1D252C"/>
                <w:sz w:val="16"/>
              </w:rPr>
              <w:t>Extend economics instrumentation with forecast vs actual onsite, travel, remote and support cost components.</w:t>
            </w:r>
          </w:p>
        </w:tc>
      </w:tr>
      <w:tr>
        <w:trPr>
          <w:cantSplit w:val="1"/>
        </w:trPr>
        <w:tc>
          <w:tcPr>
            <w:tcW w:type="dxa" w:w="1656"/>
            <w:tcMar>
              <w:top w:w="70" w:type="dxa"/>
              <w:start w:w="90" w:type="dxa"/>
              <w:bottom w:w="70" w:type="dxa"/>
              <w:end w:w="90" w:type="dxa"/>
            </w:tcMar>
            <w:vAlign w:val="top"/>
          </w:tcPr>
          <w:p>
            <w:pPr>
              <w:spacing w:after="0" w:before="0"/>
            </w:pPr>
            <w:r/>
            <w:r>
              <w:rPr>
                <w:rFonts w:ascii="Aptos" w:hAnsi="Aptos"/>
                <w:b w:val="0"/>
                <w:color w:val="1D252C"/>
                <w:sz w:val="16"/>
              </w:rPr>
              <w:t>RFC-WL-029</w:t>
            </w:r>
          </w:p>
        </w:tc>
        <w:tc>
          <w:tcPr>
            <w:tcW w:type="dxa" w:w="9216"/>
            <w:tcMar>
              <w:top w:w="70" w:type="dxa"/>
              <w:start w:w="90" w:type="dxa"/>
              <w:bottom w:w="70" w:type="dxa"/>
              <w:end w:w="90" w:type="dxa"/>
            </w:tcMar>
            <w:vAlign w:val="top"/>
          </w:tcPr>
          <w:p>
            <w:pPr>
              <w:spacing w:after="0" w:before="0"/>
            </w:pPr>
            <w:r/>
            <w:r>
              <w:rPr>
                <w:rFonts w:ascii="Aptos" w:hAnsi="Aptos"/>
                <w:b w:val="0"/>
                <w:color w:val="1D252C"/>
                <w:sz w:val="16"/>
              </w:rPr>
              <w:t>Add explainable schedule candidate scoring only after forecast quality gate; no automatic changes.</w:t>
            </w:r>
          </w:p>
        </w:tc>
      </w:tr>
    </w:tbl>
    <w:p>
      <w:pPr>
        <w:spacing w:after="20"/>
      </w:pPr>
    </w:p>
    <w:p>
      <w:pPr>
        <w:pStyle w:val="Heading1"/>
        <w:spacing w:before="200" w:after="80"/>
        <w:keepNext w:val="1"/>
      </w:pPr>
      <w:r>
        <w:t>13. Acceptance tests and engineering guardrails</w:t>
      </w:r>
    </w:p>
    <w:p>
      <w:pPr>
        <w:pStyle w:val="ListBullet"/>
        <w:spacing w:after="40" w:line="245" w:lineRule="auto"/>
        <w:ind w:left="259" w:hanging="173"/>
      </w:pPr>
      <w:r>
        <w:rPr>
          <w:rFonts w:ascii="Aptos" w:hAnsi="Aptos"/>
          <w:color w:val="1D252C"/>
          <w:sz w:val="18"/>
        </w:rPr>
        <w:t>Two households with the same Task ID but different quantities/configuration produce different estimates without modifying the global Task Definition.</w:t>
      </w:r>
    </w:p>
    <w:p>
      <w:pPr>
        <w:pStyle w:val="ListBullet"/>
        <w:spacing w:after="40" w:line="245" w:lineRule="auto"/>
        <w:ind w:left="259" w:hanging="173"/>
      </w:pPr>
      <w:r>
        <w:rPr>
          <w:rFonts w:ascii="Aptos" w:hAnsi="Aptos"/>
          <w:color w:val="1D252C"/>
          <w:sz w:val="18"/>
        </w:rPr>
        <w:t>A task with no internal history resolves to the configured fallback hierarchy and never to zero minutes.</w:t>
      </w:r>
    </w:p>
    <w:p>
      <w:pPr>
        <w:pStyle w:val="ListBullet"/>
        <w:spacing w:after="40" w:line="245" w:lineRule="auto"/>
        <w:ind w:left="259" w:hanging="173"/>
      </w:pPr>
      <w:r>
        <w:rPr>
          <w:rFonts w:ascii="Aptos" w:hAnsi="Aptos"/>
          <w:color w:val="1D252C"/>
          <w:sz w:val="18"/>
        </w:rPr>
        <w:t>Every estimate shown in a forecast can be reconstructed from an immutable Estimate Snapshot and its evidence/source rows.</w:t>
      </w:r>
    </w:p>
    <w:p>
      <w:pPr>
        <w:pStyle w:val="ListBullet"/>
        <w:spacing w:after="40" w:line="245" w:lineRule="auto"/>
        <w:ind w:left="259" w:hanging="173"/>
      </w:pPr>
      <w:r>
        <w:rPr>
          <w:rFonts w:ascii="Aptos" w:hAnsi="Aptos"/>
          <w:color w:val="1D252C"/>
          <w:sz w:val="18"/>
        </w:rPr>
        <w:t>A creator observation can seed a low-confidence prior but cannot be promoted automatically to a standard or a high-confidence Well Kept baseline.</w:t>
      </w:r>
    </w:p>
    <w:p>
      <w:pPr>
        <w:pStyle w:val="ListBullet"/>
        <w:spacing w:after="40" w:line="245" w:lineRule="auto"/>
        <w:ind w:left="259" w:hanging="173"/>
      </w:pPr>
      <w:r>
        <w:rPr>
          <w:rFonts w:ascii="Aptos" w:hAnsi="Aptos"/>
          <w:color w:val="1D252C"/>
          <w:sz w:val="18"/>
        </w:rPr>
        <w:t>A manufacturer dwell time never appears as active HOM labor.</w:t>
      </w:r>
    </w:p>
    <w:p>
      <w:pPr>
        <w:pStyle w:val="ListBullet"/>
        <w:spacing w:after="40" w:line="245" w:lineRule="auto"/>
        <w:ind w:left="259" w:hanging="173"/>
      </w:pPr>
      <w:r>
        <w:rPr>
          <w:rFonts w:ascii="Aptos" w:hAnsi="Aptos"/>
          <w:color w:val="1D252C"/>
          <w:sz w:val="18"/>
        </w:rPr>
        <w:t>Parallel dwell can be filled by another eligible task without double-counting HOM labor.</w:t>
      </w:r>
    </w:p>
    <w:p>
      <w:pPr>
        <w:pStyle w:val="ListBullet"/>
        <w:spacing w:after="40" w:line="245" w:lineRule="auto"/>
        <w:ind w:left="259" w:hanging="173"/>
      </w:pPr>
      <w:r>
        <w:rPr>
          <w:rFonts w:ascii="Aptos" w:hAnsi="Aptos"/>
          <w:color w:val="1D252C"/>
          <w:sz w:val="18"/>
        </w:rPr>
        <w:t>An unresolved member decision blocks execution and may only create a tentative hold or decision item under current Decision Rights.</w:t>
      </w:r>
    </w:p>
    <w:p>
      <w:pPr>
        <w:pStyle w:val="ListBullet"/>
        <w:spacing w:after="40" w:line="245" w:lineRule="auto"/>
        <w:ind w:left="259" w:hanging="173"/>
      </w:pPr>
      <w:r>
        <w:rPr>
          <w:rFonts w:ascii="Aptos" w:hAnsi="Aptos"/>
          <w:color w:val="1D252C"/>
          <w:sz w:val="18"/>
        </w:rPr>
        <w:t>A hard constraint cannot be traded for travel, continuity or utilization preference.</w:t>
      </w:r>
    </w:p>
    <w:p>
      <w:pPr>
        <w:pStyle w:val="ListBullet"/>
        <w:spacing w:after="40" w:line="245" w:lineRule="auto"/>
        <w:ind w:left="259" w:hanging="173"/>
      </w:pPr>
      <w:r>
        <w:rPr>
          <w:rFonts w:ascii="Aptos" w:hAnsi="Aptos"/>
          <w:color w:val="1D252C"/>
          <w:sz w:val="18"/>
        </w:rPr>
        <w:t>A low-confidence task increases uncertainty/reserve rather than appearing as precise time.</w:t>
      </w:r>
    </w:p>
    <w:p>
      <w:pPr>
        <w:pStyle w:val="ListBullet"/>
        <w:spacing w:after="40" w:line="245" w:lineRule="auto"/>
        <w:ind w:left="259" w:hanging="173"/>
      </w:pPr>
      <w:r>
        <w:rPr>
          <w:rFonts w:ascii="Aptos" w:hAnsi="Aptos"/>
          <w:color w:val="1D252C"/>
          <w:sz w:val="18"/>
        </w:rPr>
        <w:t>An occurrence marked vendor_delay changes waiting/presence statistics, not hands-on active task baseline.</w:t>
      </w:r>
    </w:p>
    <w:p>
      <w:pPr>
        <w:pStyle w:val="ListBullet"/>
        <w:spacing w:after="40" w:line="245" w:lineRule="auto"/>
        <w:ind w:left="259" w:hanging="173"/>
      </w:pPr>
      <w:r>
        <w:rPr>
          <w:rFonts w:ascii="Aptos" w:hAnsi="Aptos"/>
          <w:color w:val="1D252C"/>
          <w:sz w:val="18"/>
        </w:rPr>
        <w:t>An occurrence with rework cannot improve a speed baseline simply because the first pass was short.</w:t>
      </w:r>
    </w:p>
    <w:p>
      <w:pPr>
        <w:pStyle w:val="ListBullet"/>
        <w:spacing w:after="40" w:line="245" w:lineRule="auto"/>
        <w:ind w:left="259" w:hanging="173"/>
      </w:pPr>
      <w:r>
        <w:rPr>
          <w:rFonts w:ascii="Aptos" w:hAnsi="Aptos"/>
          <w:color w:val="1D252C"/>
          <w:sz w:val="18"/>
        </w:rPr>
        <w:t>HOM manual capacity self-report can override the model and the override is audit logged without negative performance scoring.</w:t>
      </w:r>
    </w:p>
    <w:p>
      <w:pPr>
        <w:pStyle w:val="ListBullet"/>
        <w:spacing w:after="40" w:line="245" w:lineRule="auto"/>
        <w:ind w:left="259" w:hanging="173"/>
      </w:pPr>
      <w:r>
        <w:rPr>
          <w:rFonts w:ascii="Aptos" w:hAnsi="Aptos"/>
          <w:color w:val="1D252C"/>
          <w:sz w:val="18"/>
        </w:rPr>
        <w:t>Geofence events can be manually corrected; no live-location view is required; no billing event is generated automatically.</w:t>
      </w:r>
    </w:p>
    <w:p>
      <w:pPr>
        <w:pStyle w:val="ListBullet"/>
        <w:spacing w:after="40" w:line="245" w:lineRule="auto"/>
        <w:ind w:left="259" w:hanging="173"/>
      </w:pPr>
      <w:r>
        <w:rPr>
          <w:rFonts w:ascii="Aptos" w:hAnsi="Aptos"/>
          <w:color w:val="1D252C"/>
          <w:sz w:val="18"/>
        </w:rPr>
        <w:t>Offline task/segment capture syncs idempotently and retains the original local timestamps and edit history.</w:t>
      </w:r>
    </w:p>
    <w:p>
      <w:pPr>
        <w:pStyle w:val="ListBullet"/>
        <w:spacing w:after="40" w:line="245" w:lineRule="auto"/>
        <w:ind w:left="259" w:hanging="173"/>
      </w:pPr>
      <w:r>
        <w:rPr>
          <w:rFonts w:ascii="Aptos" w:hAnsi="Aptos"/>
          <w:color w:val="1D252C"/>
          <w:sz w:val="18"/>
        </w:rPr>
        <w:t>Cross-household fleet learning never exposes household-specific values, notes, photos or identifiers to another household's estimate explanation.</w:t>
      </w:r>
    </w:p>
    <w:p>
      <w:pPr>
        <w:pStyle w:val="ListBullet"/>
        <w:spacing w:after="40" w:line="245" w:lineRule="auto"/>
        <w:ind w:left="259" w:hanging="173"/>
      </w:pPr>
      <w:r>
        <w:rPr>
          <w:rFonts w:ascii="Aptos" w:hAnsi="Aptos"/>
          <w:color w:val="1D252C"/>
          <w:sz w:val="18"/>
        </w:rPr>
        <w:t>No external source record is used after its retirement/effective range for new estimates unless a reviewer explicitly approves it.</w:t>
      </w:r>
    </w:p>
    <w:p>
      <w:pPr>
        <w:pStyle w:val="ListBullet"/>
        <w:spacing w:after="40" w:line="245" w:lineRule="auto"/>
        <w:ind w:left="259" w:hanging="173"/>
      </w:pPr>
      <w:r>
        <w:rPr>
          <w:rFonts w:ascii="Aptos" w:hAnsi="Aptos"/>
          <w:color w:val="1D252C"/>
          <w:sz w:val="18"/>
        </w:rPr>
        <w:t>A route estimate and household access overhead remain separate values.</w:t>
      </w:r>
    </w:p>
    <w:p>
      <w:pPr>
        <w:pStyle w:val="ListBullet"/>
        <w:spacing w:after="40" w:line="245" w:lineRule="auto"/>
        <w:ind w:left="259" w:hanging="173"/>
      </w:pPr>
      <w:r>
        <w:rPr>
          <w:rFonts w:ascii="Aptos" w:hAnsi="Aptos"/>
          <w:color w:val="1D252C"/>
          <w:sz w:val="18"/>
        </w:rPr>
        <w:t>Scenario simulation cannot mutate production Work Requirements, bookings or Playbook fields.</w:t>
      </w:r>
    </w:p>
    <w:p>
      <w:pPr>
        <w:pStyle w:val="ListBullet"/>
        <w:spacing w:after="40" w:line="245" w:lineRule="auto"/>
        <w:ind w:left="259" w:hanging="173"/>
      </w:pPr>
      <w:r>
        <w:rPr>
          <w:rFonts w:ascii="Aptos" w:hAnsi="Aptos"/>
          <w:color w:val="1D252C"/>
          <w:sz w:val="18"/>
        </w:rPr>
        <w:t>Forecast recompute after a Playbook/Temporal change updates future requirements but does not rewrite completed historical Estimate Snapshots.</w:t>
      </w:r>
    </w:p>
    <w:p>
      <w:pPr>
        <w:pStyle w:val="ListBullet"/>
        <w:spacing w:after="40" w:line="245" w:lineRule="auto"/>
        <w:ind w:left="259" w:hanging="173"/>
      </w:pPr>
      <w:r>
        <w:rPr>
          <w:rFonts w:ascii="Aptos" w:hAnsi="Aptos"/>
          <w:color w:val="1D252C"/>
          <w:sz w:val="18"/>
        </w:rPr>
        <w:t>Client portal permissions prevent internal capacity, duration and workforce efficiency data from leaking to the member.</w:t>
      </w:r>
    </w:p>
    <w:p>
      <w:pPr>
        <w:pStyle w:val="Heading1"/>
        <w:spacing w:before="200" w:after="80"/>
        <w:keepNext w:val="1"/>
      </w:pPr>
      <w:r>
        <w:t>14. Instrumentation and metrics</w:t>
      </w:r>
    </w:p>
    <w:p>
      <w:pPr>
        <w:spacing w:after="100" w:line="250" w:lineRule="auto"/>
      </w:pPr>
      <w:r>
        <w:rPr>
          <w:rFonts w:ascii="Aptos" w:hAnsi="Aptos"/>
          <w:i w:val="0"/>
        </w:rPr>
        <w:t>Extend the existing instrumentation map with model-health and operational-learning measures. These are system-quality measures, not staff performance metrics.</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2088"/>
            <w:shd w:fill="17324D"/>
            <w:tcMar>
              <w:top w:w="70" w:type="dxa"/>
              <w:start w:w="90" w:type="dxa"/>
              <w:bottom w:w="70" w:type="dxa"/>
              <w:end w:w="90" w:type="dxa"/>
            </w:tcMar>
            <w:vAlign w:val="center"/>
          </w:tcPr>
          <w:p>
            <w:pPr>
              <w:spacing w:after="0" w:before="0"/>
            </w:pPr>
            <w:r/>
            <w:r>
              <w:rPr>
                <w:rFonts w:ascii="Aptos" w:hAnsi="Aptos"/>
                <w:b/>
                <w:color w:val="FFFFFF"/>
                <w:sz w:val="16"/>
              </w:rPr>
              <w:t>Metric family</w:t>
            </w:r>
          </w:p>
        </w:tc>
        <w:tc>
          <w:tcPr>
            <w:tcW w:type="dxa" w:w="8784"/>
            <w:shd w:fill="17324D"/>
            <w:tcMar>
              <w:top w:w="70" w:type="dxa"/>
              <w:start w:w="90" w:type="dxa"/>
              <w:bottom w:w="70" w:type="dxa"/>
              <w:end w:w="90" w:type="dxa"/>
            </w:tcMar>
            <w:vAlign w:val="center"/>
          </w:tcPr>
          <w:p>
            <w:pPr>
              <w:spacing w:after="0" w:before="0"/>
            </w:pPr>
            <w:r/>
            <w:r>
              <w:rPr>
                <w:rFonts w:ascii="Aptos" w:hAnsi="Aptos"/>
                <w:b/>
                <w:color w:val="FFFFFF"/>
                <w:sz w:val="16"/>
              </w:rPr>
              <w:t>Recommended measures</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Evidence coverage</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 of active task profiles with at least one prior; % with WK-calibrated evidence; source staleness count</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Estimate quality</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absolute forecast error by task family/household; P80 coverage rate; calibration drift; exception rate</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Data quality</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unknown quantity count; missing duration fallback count; stale asset clock count; unresolved constraint count</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Workload</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onsite active, remote, access, waiting/presence, travel and close/documentation hours</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Capacity</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P50/P80 book load, reserve, low-confidence load, overload risk, backup coverage gaps</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Efficiency method</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movement/setup share, dwell utilization opportunities, repeat storage-friction signals, route/access overhead</w:t>
            </w:r>
          </w:p>
        </w:tc>
      </w:tr>
      <w:tr>
        <w:trPr>
          <w:cantSplit w:val="1"/>
        </w:trPr>
        <w:tc>
          <w:tcPr>
            <w:tcW w:type="dxa" w:w="2088"/>
            <w:tcMar>
              <w:top w:w="70" w:type="dxa"/>
              <w:start w:w="90" w:type="dxa"/>
              <w:bottom w:w="70" w:type="dxa"/>
              <w:end w:w="90" w:type="dxa"/>
            </w:tcMar>
            <w:vAlign w:val="top"/>
          </w:tcPr>
          <w:p>
            <w:pPr>
              <w:spacing w:after="0" w:before="0"/>
            </w:pPr>
            <w:r/>
            <w:r>
              <w:rPr>
                <w:rFonts w:ascii="Aptos" w:hAnsi="Aptos"/>
                <w:b w:val="0"/>
                <w:color w:val="1D252C"/>
                <w:sz w:val="16"/>
              </w:rPr>
              <w:t>Scope economics</w:t>
            </w:r>
          </w:p>
        </w:tc>
        <w:tc>
          <w:tcPr>
            <w:tcW w:type="dxa" w:w="8784"/>
            <w:tcMar>
              <w:top w:w="70" w:type="dxa"/>
              <w:start w:w="90" w:type="dxa"/>
              <w:bottom w:w="70" w:type="dxa"/>
              <w:end w:w="90" w:type="dxa"/>
            </w:tcMar>
            <w:vAlign w:val="top"/>
          </w:tcPr>
          <w:p>
            <w:pPr>
              <w:spacing w:after="0" w:before="0"/>
            </w:pPr>
            <w:r/>
            <w:r>
              <w:rPr>
                <w:rFonts w:ascii="Aptos" w:hAnsi="Aptos"/>
                <w:b w:val="0"/>
                <w:color w:val="1D252C"/>
                <w:sz w:val="16"/>
              </w:rPr>
              <w:t>forecast vs actual cost-to-serve components at household level, without employee ranking</w:t>
            </w:r>
          </w:p>
        </w:tc>
      </w:tr>
      <w:tr>
        <w:trPr>
          <w:cantSplit w:val="1"/>
        </w:trPr>
        <w:tc>
          <w:tcPr>
            <w:tcW w:type="dxa" w:w="2088"/>
            <w:shd w:fill="FAFBFC"/>
            <w:tcMar>
              <w:top w:w="70" w:type="dxa"/>
              <w:start w:w="90" w:type="dxa"/>
              <w:bottom w:w="70" w:type="dxa"/>
              <w:end w:w="90" w:type="dxa"/>
            </w:tcMar>
            <w:vAlign w:val="top"/>
          </w:tcPr>
          <w:p>
            <w:pPr>
              <w:spacing w:after="0" w:before="0"/>
            </w:pPr>
            <w:r/>
            <w:r>
              <w:rPr>
                <w:rFonts w:ascii="Aptos" w:hAnsi="Aptos"/>
                <w:b w:val="0"/>
                <w:color w:val="1D252C"/>
                <w:sz w:val="16"/>
              </w:rPr>
              <w:t>Human trust</w:t>
            </w:r>
          </w:p>
        </w:tc>
        <w:tc>
          <w:tcPr>
            <w:tcW w:type="dxa" w:w="8784"/>
            <w:shd w:fill="FAFBFC"/>
            <w:tcMar>
              <w:top w:w="70" w:type="dxa"/>
              <w:start w:w="90" w:type="dxa"/>
              <w:bottom w:w="70" w:type="dxa"/>
              <w:end w:w="90" w:type="dxa"/>
            </w:tcMar>
            <w:vAlign w:val="top"/>
          </w:tcPr>
          <w:p>
            <w:pPr>
              <w:spacing w:after="0" w:before="0"/>
            </w:pPr>
            <w:r/>
            <w:r>
              <w:rPr>
                <w:rFonts w:ascii="Aptos" w:hAnsi="Aptos"/>
                <w:b w:val="0"/>
                <w:color w:val="1D252C"/>
                <w:sz w:val="16"/>
              </w:rPr>
              <w:t>HOM forecast override rate and reason; recommendation accepted/changed/ignored; model-vs-self-report divergence</w:t>
            </w:r>
          </w:p>
        </w:tc>
      </w:tr>
    </w:tbl>
    <w:p>
      <w:pPr>
        <w:spacing w:after="20"/>
      </w:pPr>
    </w:p>
    <w:p>
      <w:pPr>
        <w:pStyle w:val="Heading1"/>
        <w:spacing w:before="200" w:after="80"/>
        <w:keepNext w:val="1"/>
      </w:pPr>
      <w:r>
        <w:t>15. Controlled Well Kept documents this work should update after approval</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3816"/>
            <w:shd w:fill="17324D"/>
            <w:tcMar>
              <w:top w:w="70" w:type="dxa"/>
              <w:start w:w="90" w:type="dxa"/>
              <w:bottom w:w="70" w:type="dxa"/>
              <w:end w:w="90" w:type="dxa"/>
            </w:tcMar>
            <w:vAlign w:val="center"/>
          </w:tcPr>
          <w:p>
            <w:pPr>
              <w:spacing w:after="0" w:before="0"/>
            </w:pPr>
            <w:r/>
            <w:r>
              <w:rPr>
                <w:rFonts w:ascii="Aptos" w:hAnsi="Aptos"/>
                <w:b/>
                <w:color w:val="FFFFFF"/>
                <w:sz w:val="16"/>
              </w:rPr>
              <w:t>Current document</w:t>
            </w:r>
          </w:p>
        </w:tc>
        <w:tc>
          <w:tcPr>
            <w:tcW w:type="dxa" w:w="7056"/>
            <w:shd w:fill="17324D"/>
            <w:tcMar>
              <w:top w:w="70" w:type="dxa"/>
              <w:start w:w="90" w:type="dxa"/>
              <w:bottom w:w="70" w:type="dxa"/>
              <w:end w:w="90" w:type="dxa"/>
            </w:tcMar>
            <w:vAlign w:val="center"/>
          </w:tcPr>
          <w:p>
            <w:pPr>
              <w:spacing w:after="0" w:before="0"/>
            </w:pPr>
            <w:r/>
            <w:r>
              <w:rPr>
                <w:rFonts w:ascii="Aptos" w:hAnsi="Aptos"/>
                <w:b/>
                <w:color w:val="FFFFFF"/>
                <w:sz w:val="16"/>
              </w:rPr>
              <w:t>Proposed change</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WK-APP-001 Household Intelligence Backend Spec</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Add Task Evidence, Household Task Profile, Work Requirement, execution actuals, forecast/capacity read models and source provenance.</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WK-APP-003 Addendum A1 Standards Store</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Keep Standards Store unchanged in purpose; add a sibling Evidence Store addendum and links from task/provision where useful.</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WK-APP-004 Collision Detection Spec</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Structure person time blocks, transport requirements, space availability, authority reachability and computed load density.</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WK-APP-006 Trigger Batch Scope</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Define trigger output as Work Requirement/bundle candidate where appropriate, not only prompt.</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WK-APP-007 What Is Needed and When</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Connect field dependency states to Work Requirement readiness and decision blockers.</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WK-APP-008 Making Anticipation Functional</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Connect anticipation to occurrence generation and capacity-aware delivery gate.</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WK-PLAY-001 / Intake Guide</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Add observation-derived workload fields without expanding member questionnaire unnecessarily.</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WK-PLAY-002 Intake Workbook / Field Schema</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Add structured computable fields only where they materially drive scheduling; distinguish declared vs observed/derived.</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WK-PLAY-001 Addendum C Temporal Layer</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Add source/effective date and occurrence-generation hooks.</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WK-STD-018 Visit Method Efficiency</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Reference segmentation and calibration; explicitly preserve no-rushing guardrail.</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 Task Inventory v1.3</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Do not overload core task rows. Add stable linkage to evidence/profile system, or keep linkage in application schema.</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 Task Stacking &amp; Errand Optimization</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Replace weak free-text duration estimate with Estimate Snapshot; retain earliest/due, effort/context, dependencies and privacy membrane.</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 Operating-Year Capacity Governance</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Implement P50/P80 forecast, reserve, effort library from actuals, presence/remote split and self-report override.</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WK-FIN-015 Model Instrumentation Map</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Add predicted vs actual labor/travel/remote/support fields and forecast confidence.</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WK-DEV-001 Requirements</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Add approved RFC-WL items after governance; do not renumber existing requirements.</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WK-DEV-002 User Stories</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Add HOM calibration, corporate forecast, scenario and evidence curator stories.</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WK-DEV-003 Stack</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No architectural change required; add packages/modules within existing monolith and worker.</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WK-DEV-004 Conventions</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Add ID/event naming and immutable estimate snapshot conventions. Do not reintroduce stale tRPC/WatermelonDB references.</w:t>
            </w:r>
          </w:p>
        </w:tc>
      </w:tr>
      <w:tr>
        <w:trPr>
          <w:cantSplit w:val="1"/>
        </w:trPr>
        <w:tc>
          <w:tcPr>
            <w:tcW w:type="dxa" w:w="3816"/>
            <w:tcMar>
              <w:top w:w="70" w:type="dxa"/>
              <w:start w:w="90" w:type="dxa"/>
              <w:bottom w:w="70" w:type="dxa"/>
              <w:end w:w="90" w:type="dxa"/>
            </w:tcMar>
            <w:vAlign w:val="top"/>
          </w:tcPr>
          <w:p>
            <w:pPr>
              <w:spacing w:after="0" w:before="0"/>
            </w:pPr>
            <w:r/>
            <w:r>
              <w:rPr>
                <w:rFonts w:ascii="Aptos" w:hAnsi="Aptos"/>
                <w:b w:val="0"/>
                <w:color w:val="1D252C"/>
                <w:sz w:val="15"/>
              </w:rPr>
              <w:t>WK-DEV-005 Developer Handbook</w:t>
            </w:r>
          </w:p>
        </w:tc>
        <w:tc>
          <w:tcPr>
            <w:tcW w:type="dxa" w:w="7056"/>
            <w:tcMar>
              <w:top w:w="70" w:type="dxa"/>
              <w:start w:w="90" w:type="dxa"/>
              <w:bottom w:w="70" w:type="dxa"/>
              <w:end w:w="90" w:type="dxa"/>
            </w:tcMar>
            <w:vAlign w:val="top"/>
          </w:tcPr>
          <w:p>
            <w:pPr>
              <w:spacing w:after="0" w:before="0"/>
            </w:pPr>
            <w:r/>
            <w:r>
              <w:rPr>
                <w:rFonts w:ascii="Aptos" w:hAnsi="Aptos"/>
                <w:b w:val="0"/>
                <w:color w:val="1D252C"/>
                <w:sz w:val="15"/>
              </w:rPr>
              <w:t>Keep scheduling optimizer v1 out-of-scope; add workload foundation as an approved build stream if adopted.</w:t>
            </w:r>
          </w:p>
        </w:tc>
      </w:tr>
      <w:tr>
        <w:trPr>
          <w:cantSplit w:val="1"/>
        </w:trPr>
        <w:tc>
          <w:tcPr>
            <w:tcW w:type="dxa" w:w="3816"/>
            <w:shd w:fill="FAFBFC"/>
            <w:tcMar>
              <w:top w:w="70" w:type="dxa"/>
              <w:start w:w="90" w:type="dxa"/>
              <w:bottom w:w="70" w:type="dxa"/>
              <w:end w:w="90" w:type="dxa"/>
            </w:tcMar>
            <w:vAlign w:val="top"/>
          </w:tcPr>
          <w:p>
            <w:pPr>
              <w:spacing w:after="0" w:before="0"/>
            </w:pPr>
            <w:r/>
            <w:r>
              <w:rPr>
                <w:rFonts w:ascii="Aptos" w:hAnsi="Aptos"/>
                <w:b w:val="0"/>
                <w:color w:val="1D252C"/>
                <w:sz w:val="15"/>
              </w:rPr>
              <w:t>HZ Time and Friction</w:t>
            </w:r>
          </w:p>
        </w:tc>
        <w:tc>
          <w:tcPr>
            <w:tcW w:type="dxa" w:w="7056"/>
            <w:shd w:fill="FAFBFC"/>
            <w:tcMar>
              <w:top w:w="70" w:type="dxa"/>
              <w:start w:w="90" w:type="dxa"/>
              <w:bottom w:w="70" w:type="dxa"/>
              <w:end w:w="90" w:type="dxa"/>
            </w:tcMar>
            <w:vAlign w:val="top"/>
          </w:tcPr>
          <w:p>
            <w:pPr>
              <w:spacing w:after="0" w:before="0"/>
            </w:pPr>
            <w:r/>
            <w:r>
              <w:rPr>
                <w:rFonts w:ascii="Aptos" w:hAnsi="Aptos"/>
                <w:b w:val="0"/>
                <w:color w:val="1D252C"/>
                <w:sz w:val="15"/>
              </w:rPr>
              <w:t>Extend from onboarding friction to selective service-delivery calibration fields.</w:t>
            </w:r>
          </w:p>
        </w:tc>
      </w:tr>
    </w:tbl>
    <w:p>
      <w:pPr>
        <w:spacing w:after="20"/>
      </w:pPr>
    </w:p>
    <w:p>
      <w:pPr>
        <w:pStyle w:val="Heading1"/>
        <w:spacing w:before="200" w:after="80"/>
        <w:keepNext w:val="1"/>
      </w:pPr>
      <w:r>
        <w:t>16. Developer handoff checklist</w:t>
      </w:r>
    </w:p>
    <w:tbl>
      <w:tblPr>
        <w:tblStyle w:val="TableGrid"/>
        <w:tblW w:type="auto" w:w="0"/>
        <w:tblLook w:firstColumn="1" w:firstRow="1" w:lastColumn="0" w:lastRow="0" w:noHBand="0" w:noVBand="1" w:val="04A0"/>
      </w:tblPr>
      <w:tblGrid>
        <w:gridCol w:w="5083"/>
        <w:gridCol w:w="5083"/>
      </w:tblGrid>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Read 00_CURRENT_AUTHORITY before coding and log any conflict found in this brief.</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Confirm the canonical repository state for API/offline/email before modifying architecture.</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Prepare an ADR/RFC for the new object boundaries and verify names against existing database schema.</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Do not alter the 344 Task IDs or global Standards Store to hold household-specific timing.</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Seed a small Task Evidence dataset from the source register only after source rights and task-boundary mapping are reviewed.</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Add Household Task Profiles by deriving/observing workload variables from Household Zero before expanding intake questions.</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Implement actual capture with minimal HOM taps and offline behavior before building prediction.</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Demonstrate estimate traceability and fallback behavior with fixture households.</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Demonstrate that abnormal/exception time is classified correctly before enabling automatic learning.</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Build household forecast and corporate capacity read models.</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Run scenario simulations against sample/HZ data and compare to human schedule judgment.</w:t>
            </w:r>
          </w:p>
        </w:tc>
      </w:tr>
      <w:tr>
        <w:trPr>
          <w:cantSplit w:val="1"/>
        </w:trPr>
        <w:tc>
          <w:tcPr>
            <w:tcW w:type="dxa" w:w="432"/>
            <w:tcMar>
              <w:top w:w="45" w:type="dxa"/>
              <w:start w:w="60" w:type="dxa"/>
              <w:bottom w:w="45" w:type="dxa"/>
              <w:end w:w="60" w:type="dxa"/>
            </w:tcMar>
          </w:tcPr>
          <w:p>
            <w:r/>
          </w:p>
        </w:tc>
        <w:tc>
          <w:tcPr>
            <w:tcW w:type="dxa" w:w="10224"/>
            <w:tcMar>
              <w:top w:w="45" w:type="dxa"/>
              <w:start w:w="60" w:type="dxa"/>
              <w:bottom w:w="45" w:type="dxa"/>
              <w:end w:w="60" w:type="dxa"/>
            </w:tcMar>
          </w:tcPr>
          <w:p>
            <w:pPr>
              <w:spacing w:after="0"/>
            </w:pPr>
            <w:r>
              <w:rPr>
                <w:rFonts w:ascii="Aptos" w:hAnsi="Aptos"/>
                <w:color w:val="1D252C"/>
                <w:sz w:val="18"/>
              </w:rPr>
              <w:t>Only after accuracy and trust gates are met should a separate ADR propose scheduling recommendations or optimization.</w:t>
            </w:r>
          </w:p>
        </w:tc>
      </w:tr>
    </w:tbl>
    <w:p>
      <w:r>
        <w:br w:type="page"/>
      </w:r>
    </w:p>
    <w:p>
      <w:pPr>
        <w:pStyle w:val="Heading1"/>
        <w:spacing w:before="200" w:after="80"/>
        <w:keepNext w:val="1"/>
      </w:pPr>
      <w:r>
        <w:t>Appendix A. External source register from this research thread</w:t>
      </w:r>
    </w:p>
    <w:p>
      <w:pPr>
        <w:spacing w:after="100" w:line="250" w:lineRule="auto"/>
      </w:pPr>
      <w:r>
        <w:rPr>
          <w:rFonts w:ascii="Aptos" w:hAnsi="Aptos"/>
          <w:i w:val="0"/>
        </w:rPr>
        <w:t>This register consolidates the external articles, websites, products and formal resources cited or materially referenced in the thread. Duplicate mirrors and alternate-format copies are consolidated where they represent the same underlying resource. Inclusion here means the source was useful for research; it does not mean Well Kept has permission to ingest, reproduce or commercialize its content.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1"/>
        </w:trPr>
        <w:tc>
          <w:tcPr>
            <w:tcW w:type="dxa" w:w="2541"/>
            <w:shd w:fill="17324D"/>
            <w:tcMar>
              <w:top w:w="70" w:type="dxa"/>
              <w:start w:w="90" w:type="dxa"/>
              <w:bottom w:w="70" w:type="dxa"/>
              <w:end w:w="90" w:type="dxa"/>
            </w:tcMar>
          </w:tcPr>
          <w:p>
            <w:pPr>
              <w:spacing w:after="0" w:before="0"/>
            </w:pPr>
            <w:r/>
            <w:r>
              <w:rPr>
                <w:rFonts w:ascii="Aptos" w:hAnsi="Aptos"/>
                <w:b/>
                <w:color w:val="FFFFFF"/>
                <w:sz w:val="16"/>
              </w:rPr>
              <w:t>ID</w:t>
            </w:r>
          </w:p>
        </w:tc>
        <w:tc>
          <w:tcPr>
            <w:tcW w:type="dxa" w:w="2541"/>
            <w:shd w:fill="17324D"/>
            <w:tcMar>
              <w:top w:w="70" w:type="dxa"/>
              <w:start w:w="90" w:type="dxa"/>
              <w:bottom w:w="70" w:type="dxa"/>
              <w:end w:w="90" w:type="dxa"/>
            </w:tcMar>
          </w:tcPr>
          <w:p>
            <w:pPr>
              <w:spacing w:after="0" w:before="0"/>
            </w:pPr>
            <w:r/>
            <w:r>
              <w:rPr>
                <w:rFonts w:ascii="Aptos" w:hAnsi="Aptos"/>
                <w:b/>
                <w:color w:val="FFFFFF"/>
                <w:sz w:val="16"/>
              </w:rPr>
              <w:t>Source</w:t>
            </w:r>
          </w:p>
        </w:tc>
        <w:tc>
          <w:tcPr>
            <w:tcW w:type="dxa" w:w="2541"/>
            <w:shd w:fill="17324D"/>
            <w:tcMar>
              <w:top w:w="70" w:type="dxa"/>
              <w:start w:w="90" w:type="dxa"/>
              <w:bottom w:w="70" w:type="dxa"/>
              <w:end w:w="90" w:type="dxa"/>
            </w:tcMar>
          </w:tcPr>
          <w:p>
            <w:pPr>
              <w:spacing w:after="0" w:before="0"/>
            </w:pPr>
            <w:r/>
            <w:r>
              <w:rPr>
                <w:rFonts w:ascii="Aptos" w:hAnsi="Aptos"/>
                <w:b/>
                <w:color w:val="FFFFFF"/>
                <w:sz w:val="16"/>
              </w:rPr>
              <w:t>Use / guardrail</w:t>
            </w:r>
          </w:p>
        </w:tc>
        <w:tc>
          <w:tcPr>
            <w:tcW w:type="dxa" w:w="2541"/>
            <w:shd w:fill="17324D"/>
            <w:tcMar>
              <w:top w:w="70" w:type="dxa"/>
              <w:start w:w="90" w:type="dxa"/>
              <w:bottom w:w="70" w:type="dxa"/>
              <w:end w:w="90" w:type="dxa"/>
            </w:tcMar>
          </w:tcPr>
          <w:p>
            <w:pPr>
              <w:spacing w:after="0" w:before="0"/>
            </w:pPr>
            <w:r/>
            <w:r>
              <w:rPr>
                <w:rFonts w:ascii="Aptos" w:hAnsi="Aptos"/>
                <w:b/>
                <w:color w:val="FFFFFF"/>
                <w:sz w:val="16"/>
              </w:rPr>
              <w:t>Link</w:t>
            </w:r>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Christi Newrutzen, “How Long Does It Actually Take?” coverage, Daily Dot</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Creator timing observation; predicted vs actual; manual curation only.</w:t>
            </w:r>
          </w:p>
        </w:tc>
        <w:tc>
          <w:tcPr>
            <w:tcW w:type="dxa" w:w="2541"/>
            <w:tcMar>
              <w:top w:w="70" w:type="dxa"/>
              <w:start w:w="90" w:type="dxa"/>
              <w:bottom w:w="70" w:type="dxa"/>
              <w:end w:w="90" w:type="dxa"/>
            </w:tcMar>
            <w:vAlign w:val="top"/>
          </w:tcPr>
          <w:p>
            <w:pPr>
              <w:spacing w:after="0"/>
            </w:pPr>
            <w:r/>
            <w:hyperlink r:id="rId1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Christi Newrutzen coverage, The Bump</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Additional task observations and community-reported timings; boundary varies.</w:t>
            </w:r>
          </w:p>
        </w:tc>
        <w:tc>
          <w:tcPr>
            <w:tcW w:type="dxa" w:w="2541"/>
            <w:tcMar>
              <w:top w:w="70" w:type="dxa"/>
              <w:start w:w="90" w:type="dxa"/>
              <w:bottom w:w="70" w:type="dxa"/>
              <w:end w:w="90" w:type="dxa"/>
            </w:tcMar>
            <w:vAlign w:val="top"/>
          </w:tcPr>
          <w:p>
            <w:pPr>
              <w:spacing w:after="0"/>
            </w:pPr>
            <w:r/>
            <w:hyperlink r:id="rId1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Christi Newrutzen coverage, New York Times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Timing as a way to learn actual burden; small-chunk framing.</w:t>
            </w:r>
          </w:p>
        </w:tc>
        <w:tc>
          <w:tcPr>
            <w:tcW w:type="dxa" w:w="2541"/>
            <w:tcMar>
              <w:top w:w="70" w:type="dxa"/>
              <w:start w:w="90" w:type="dxa"/>
              <w:bottom w:w="70" w:type="dxa"/>
              <w:end w:w="90" w:type="dxa"/>
            </w:tcMar>
            <w:vAlign w:val="top"/>
          </w:tcPr>
          <w:p>
            <w:pPr>
              <w:spacing w:after="0"/>
            </w:pPr>
            <w:r/>
            <w:hyperlink r:id="rId1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Christi Newrutzen official Linktree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Canonical creator account/navigation reference.</w:t>
            </w:r>
          </w:p>
        </w:tc>
        <w:tc>
          <w:tcPr>
            <w:tcW w:type="dxa" w:w="2541"/>
            <w:tcMar>
              <w:top w:w="70" w:type="dxa"/>
              <w:start w:w="90" w:type="dxa"/>
              <w:bottom w:w="70" w:type="dxa"/>
              <w:end w:w="90" w:type="dxa"/>
            </w:tcMar>
            <w:vAlign w:val="top"/>
          </w:tcPr>
          <w:p>
            <w:pPr>
              <w:spacing w:after="0"/>
            </w:pPr>
            <w:r/>
            <w:hyperlink r:id="rId1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Christi Newrutzen coverage, Nine/Honey</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Additional predicted/actual examples; creator observation only.</w:t>
            </w:r>
          </w:p>
        </w:tc>
        <w:tc>
          <w:tcPr>
            <w:tcW w:type="dxa" w:w="2541"/>
            <w:tcMar>
              <w:top w:w="70" w:type="dxa"/>
              <w:start w:w="90" w:type="dxa"/>
              <w:bottom w:w="70" w:type="dxa"/>
              <w:end w:w="90" w:type="dxa"/>
            </w:tcMar>
            <w:vAlign w:val="top"/>
          </w:tcPr>
          <w:p>
            <w:pPr>
              <w:spacing w:after="0"/>
            </w:pPr>
            <w:r/>
            <w:hyperlink r:id="rId1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DoorDash x Christi Newrutzen travel/packing article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Illustrates applying timing/decluttering method to travel preparation; sponsored context.</w:t>
            </w:r>
          </w:p>
        </w:tc>
        <w:tc>
          <w:tcPr>
            <w:tcW w:type="dxa" w:w="2541"/>
            <w:tcMar>
              <w:top w:w="70" w:type="dxa"/>
              <w:start w:w="90" w:type="dxa"/>
              <w:bottom w:w="70" w:type="dxa"/>
              <w:end w:w="90" w:type="dxa"/>
            </w:tcMar>
            <w:vAlign w:val="top"/>
          </w:tcPr>
          <w:p>
            <w:pPr>
              <w:spacing w:after="0"/>
            </w:pPr>
            <w:r/>
            <w:hyperlink r:id="rId1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Clutterbug, “This Speed Cleaning Trick Will Blow Your Mind!”</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Estimated, target and actual times for bounded chores; useful external observations, not quotas.</w:t>
            </w:r>
          </w:p>
        </w:tc>
        <w:tc>
          <w:tcPr>
            <w:tcW w:type="dxa" w:w="2541"/>
            <w:tcMar>
              <w:top w:w="70" w:type="dxa"/>
              <w:start w:w="90" w:type="dxa"/>
              <w:bottom w:w="70" w:type="dxa"/>
              <w:end w:w="90" w:type="dxa"/>
            </w:tcMar>
            <w:vAlign w:val="top"/>
          </w:tcPr>
          <w:p>
            <w:pPr>
              <w:spacing w:after="0"/>
            </w:pPr>
            <w:r/>
            <w:hyperlink r:id="rId1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Anna Louisa, The 5 Minute Clean Routine, Penguin</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Micro-task decomposition and routine design; book/content rights apply.</w:t>
            </w:r>
          </w:p>
        </w:tc>
        <w:tc>
          <w:tcPr>
            <w:tcW w:type="dxa" w:w="2541"/>
            <w:tcMar>
              <w:top w:w="70" w:type="dxa"/>
              <w:start w:w="90" w:type="dxa"/>
              <w:bottom w:w="70" w:type="dxa"/>
              <w:end w:w="90" w:type="dxa"/>
            </w:tcMar>
            <w:vAlign w:val="top"/>
          </w:tcPr>
          <w:p>
            <w:pPr>
              <w:spacing w:after="0"/>
            </w:pPr>
            <w:r/>
            <w:hyperlink r:id="rId18">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EXT-009</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Anna Louisa 5-minute routine coverage, Women’s Health</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Time-box principle and fitting tasks into real life; design pattern, not duration standard.</w:t>
            </w:r>
          </w:p>
        </w:tc>
        <w:tc>
          <w:tcPr>
            <w:tcW w:type="dxa" w:w="2541"/>
            <w:tcMar>
              <w:top w:w="70" w:type="dxa"/>
              <w:start w:w="90" w:type="dxa"/>
              <w:bottom w:w="70" w:type="dxa"/>
              <w:end w:w="90" w:type="dxa"/>
            </w:tcMar>
            <w:vAlign w:val="top"/>
          </w:tcPr>
          <w:p>
            <w:pPr>
              <w:spacing w:after="0"/>
            </w:pPr>
            <w:r/>
            <w:hyperlink r:id="rId19">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EXT-010</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Clean Mama, 10-Minute Calm-Your-House Reset</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Creator-designed time boxes for surfaces, dishwasher, laundry and trash; benchmark only.</w:t>
            </w:r>
          </w:p>
        </w:tc>
        <w:tc>
          <w:tcPr>
            <w:tcW w:type="dxa" w:w="2541"/>
            <w:tcMar>
              <w:top w:w="70" w:type="dxa"/>
              <w:start w:w="90" w:type="dxa"/>
              <w:bottom w:w="70" w:type="dxa"/>
              <w:end w:w="90" w:type="dxa"/>
            </w:tcMar>
            <w:vAlign w:val="top"/>
          </w:tcPr>
          <w:p>
            <w:pPr>
              <w:spacing w:after="0"/>
            </w:pPr>
            <w:r/>
            <w:hyperlink r:id="rId20">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Clean Mama, The 10-Minute Tidy</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Contextual short-reset design pattern.</w:t>
            </w:r>
          </w:p>
        </w:tc>
        <w:tc>
          <w:tcPr>
            <w:tcW w:type="dxa" w:w="2541"/>
            <w:tcMar>
              <w:top w:w="70" w:type="dxa"/>
              <w:start w:w="90" w:type="dxa"/>
              <w:bottom w:w="70" w:type="dxa"/>
              <w:end w:w="90" w:type="dxa"/>
            </w:tcMar>
            <w:vAlign w:val="top"/>
          </w:tcPr>
          <w:p>
            <w:pPr>
              <w:spacing w:after="0"/>
            </w:pPr>
            <w:r/>
            <w:hyperlink r:id="rId2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Clean Mama, bedroom reset in 10 minutes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Room-reset sequence/timebox; useful proxy, not WK task standard.</w:t>
            </w:r>
          </w:p>
        </w:tc>
        <w:tc>
          <w:tcPr>
            <w:tcW w:type="dxa" w:w="2541"/>
            <w:tcMar>
              <w:top w:w="70" w:type="dxa"/>
              <w:start w:w="90" w:type="dxa"/>
              <w:bottom w:w="70" w:type="dxa"/>
              <w:end w:w="90" w:type="dxa"/>
            </w:tcMar>
            <w:vAlign w:val="top"/>
          </w:tcPr>
          <w:p>
            <w:pPr>
              <w:spacing w:after="0"/>
            </w:pPr>
            <w:r/>
            <w:hyperlink r:id="rId2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Gemma Bray, The Organised Mum Method</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Time-boxed routine/cadence concept.</w:t>
            </w:r>
          </w:p>
        </w:tc>
        <w:tc>
          <w:tcPr>
            <w:tcW w:type="dxa" w:w="2541"/>
            <w:tcMar>
              <w:top w:w="70" w:type="dxa"/>
              <w:start w:w="90" w:type="dxa"/>
              <w:bottom w:w="70" w:type="dxa"/>
              <w:end w:w="90" w:type="dxa"/>
            </w:tcMar>
            <w:vAlign w:val="top"/>
          </w:tcPr>
          <w:p>
            <w:pPr>
              <w:spacing w:after="0"/>
            </w:pPr>
            <w:r/>
            <w:hyperlink r:id="rId2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Tody tips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Household-specific frequency and due/optimal-day logic.</w:t>
            </w:r>
          </w:p>
        </w:tc>
        <w:tc>
          <w:tcPr>
            <w:tcW w:type="dxa" w:w="2541"/>
            <w:tcMar>
              <w:top w:w="70" w:type="dxa"/>
              <w:start w:w="90" w:type="dxa"/>
              <w:bottom w:w="70" w:type="dxa"/>
              <w:end w:w="90" w:type="dxa"/>
            </w:tcMar>
            <w:vAlign w:val="top"/>
          </w:tcPr>
          <w:p>
            <w:pPr>
              <w:spacing w:after="0"/>
            </w:pPr>
            <w:r/>
            <w:hyperlink r:id="rId2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Sweepy</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Effort points separate from time; availability-aware smart schedule; do not copy leaderboard model.</w:t>
            </w:r>
          </w:p>
        </w:tc>
        <w:tc>
          <w:tcPr>
            <w:tcW w:type="dxa" w:w="2541"/>
            <w:tcMar>
              <w:top w:w="70" w:type="dxa"/>
              <w:start w:w="90" w:type="dxa"/>
              <w:bottom w:w="70" w:type="dxa"/>
              <w:end w:w="90" w:type="dxa"/>
            </w:tcMar>
            <w:vAlign w:val="top"/>
          </w:tcPr>
          <w:p>
            <w:pPr>
              <w:spacing w:after="0"/>
            </w:pPr>
            <w:r/>
            <w:hyperlink r:id="rId2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 Routines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Routines, zones, short timer, contextual one-thing flow.</w:t>
            </w:r>
          </w:p>
        </w:tc>
        <w:tc>
          <w:tcPr>
            <w:tcW w:type="dxa" w:w="2541"/>
            <w:tcMar>
              <w:top w:w="70" w:type="dxa"/>
              <w:start w:w="90" w:type="dxa"/>
              <w:bottom w:w="70" w:type="dxa"/>
              <w:end w:w="90" w:type="dxa"/>
            </w:tcMar>
            <w:vAlign w:val="top"/>
          </w:tcPr>
          <w:p>
            <w:pPr>
              <w:spacing w:after="0"/>
            </w:pPr>
            <w:r/>
            <w:hyperlink r:id="rId2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 Routines, Zone Cleaning</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Rotating zones and short-burst work.</w:t>
            </w:r>
          </w:p>
        </w:tc>
        <w:tc>
          <w:tcPr>
            <w:tcW w:type="dxa" w:w="2541"/>
            <w:tcMar>
              <w:top w:w="70" w:type="dxa"/>
              <w:start w:w="90" w:type="dxa"/>
              <w:bottom w:w="70" w:type="dxa"/>
              <w:end w:w="90" w:type="dxa"/>
            </w:tcMar>
            <w:vAlign w:val="top"/>
          </w:tcPr>
          <w:p>
            <w:pPr>
              <w:spacing w:after="0"/>
            </w:pPr>
            <w:r/>
            <w:hyperlink r:id="rId2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 Routines, Focus Zones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Flexible zone scheduling and availability days.</w:t>
            </w:r>
          </w:p>
        </w:tc>
        <w:tc>
          <w:tcPr>
            <w:tcW w:type="dxa" w:w="2541"/>
            <w:tcMar>
              <w:top w:w="70" w:type="dxa"/>
              <w:start w:w="90" w:type="dxa"/>
              <w:bottom w:w="70" w:type="dxa"/>
              <w:end w:w="90" w:type="dxa"/>
            </w:tcMar>
            <w:vAlign w:val="top"/>
          </w:tcPr>
          <w:p>
            <w:pPr>
              <w:spacing w:after="0"/>
            </w:pPr>
            <w:r/>
            <w:hyperlink r:id="rId28">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EXT-019</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 Routines, Timer and One Thing</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Contextual task selection and timer behavior.</w:t>
            </w:r>
          </w:p>
        </w:tc>
        <w:tc>
          <w:tcPr>
            <w:tcW w:type="dxa" w:w="2541"/>
            <w:tcMar>
              <w:top w:w="70" w:type="dxa"/>
              <w:start w:w="90" w:type="dxa"/>
              <w:bottom w:w="70" w:type="dxa"/>
              <w:end w:w="90" w:type="dxa"/>
            </w:tcMar>
            <w:vAlign w:val="top"/>
          </w:tcPr>
          <w:p>
            <w:pPr>
              <w:spacing w:after="0"/>
            </w:pPr>
            <w:r/>
            <w:hyperlink r:id="rId29">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EXT-020</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HomeZada, home maintenance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Asset-specific maintenance calendar, weather context, documents/history.</w:t>
            </w:r>
          </w:p>
        </w:tc>
        <w:tc>
          <w:tcPr>
            <w:tcW w:type="dxa" w:w="2541"/>
            <w:tcMar>
              <w:top w:w="70" w:type="dxa"/>
              <w:start w:w="90" w:type="dxa"/>
              <w:bottom w:w="70" w:type="dxa"/>
              <w:end w:w="90" w:type="dxa"/>
            </w:tcMar>
            <w:vAlign w:val="top"/>
          </w:tcPr>
          <w:p>
            <w:pPr>
              <w:spacing w:after="0"/>
            </w:pPr>
            <w:r/>
            <w:hyperlink r:id="rId30">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HomeZada, automated maintenance schedule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Maintenance templates, reminders, customization and history.</w:t>
            </w:r>
          </w:p>
        </w:tc>
        <w:tc>
          <w:tcPr>
            <w:tcW w:type="dxa" w:w="2541"/>
            <w:tcMar>
              <w:top w:w="70" w:type="dxa"/>
              <w:start w:w="90" w:type="dxa"/>
              <w:bottom w:w="70" w:type="dxa"/>
              <w:end w:w="90" w:type="dxa"/>
            </w:tcMar>
            <w:vAlign w:val="top"/>
          </w:tcPr>
          <w:p>
            <w:pPr>
              <w:spacing w:after="0"/>
            </w:pPr>
            <w:r/>
            <w:hyperlink r:id="rId3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HomeZada, inventory/maintenance platform</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Home inventory + maintenance + receipts/docs as persistent history.</w:t>
            </w:r>
          </w:p>
        </w:tc>
        <w:tc>
          <w:tcPr>
            <w:tcW w:type="dxa" w:w="2541"/>
            <w:tcMar>
              <w:top w:w="70" w:type="dxa"/>
              <w:start w:w="90" w:type="dxa"/>
              <w:bottom w:w="70" w:type="dxa"/>
              <w:end w:w="90" w:type="dxa"/>
            </w:tcMar>
            <w:vAlign w:val="top"/>
          </w:tcPr>
          <w:p>
            <w:pPr>
              <w:spacing w:after="0"/>
            </w:pPr>
            <w:r/>
            <w:hyperlink r:id="rId3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Toggl Track for Software Teams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Estimate-versus-actual rationale and forward projections.</w:t>
            </w:r>
          </w:p>
        </w:tc>
        <w:tc>
          <w:tcPr>
            <w:tcW w:type="dxa" w:w="2541"/>
            <w:tcMar>
              <w:top w:w="70" w:type="dxa"/>
              <w:start w:w="90" w:type="dxa"/>
              <w:bottom w:w="70" w:type="dxa"/>
              <w:end w:w="90" w:type="dxa"/>
            </w:tcMar>
            <w:vAlign w:val="top"/>
          </w:tcPr>
          <w:p>
            <w:pPr>
              <w:spacing w:after="0"/>
            </w:pPr>
            <w:r/>
            <w:hyperlink r:id="rId3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Toggl Track for Creative Teams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Forecast based on actual/estimated hours; project completion visibility.</w:t>
            </w:r>
          </w:p>
        </w:tc>
        <w:tc>
          <w:tcPr>
            <w:tcW w:type="dxa" w:w="2541"/>
            <w:tcMar>
              <w:top w:w="70" w:type="dxa"/>
              <w:start w:w="90" w:type="dxa"/>
              <w:bottom w:w="70" w:type="dxa"/>
              <w:end w:w="90" w:type="dxa"/>
            </w:tcMar>
            <w:vAlign w:val="top"/>
          </w:tcPr>
          <w:p>
            <w:pPr>
              <w:spacing w:after="0"/>
            </w:pPr>
            <w:r/>
            <w:hyperlink r:id="rId3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Lean Enterprise Institute, Standardized Work Combination Table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Separates hand/manual, walk and automatic/process time. Method-improvement pattern only.</w:t>
            </w:r>
          </w:p>
        </w:tc>
        <w:tc>
          <w:tcPr>
            <w:tcW w:type="dxa" w:w="2541"/>
            <w:tcMar>
              <w:top w:w="70" w:type="dxa"/>
              <w:start w:w="90" w:type="dxa"/>
              <w:bottom w:w="70" w:type="dxa"/>
              <w:end w:w="90" w:type="dxa"/>
            </w:tcMar>
            <w:vAlign w:val="top"/>
          </w:tcPr>
          <w:p>
            <w:pPr>
              <w:spacing w:after="0"/>
            </w:pPr>
            <w:r/>
            <w:hyperlink r:id="rId3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ISSA Cleaning Times and Workloading Fact Sheet</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Professional workloading benchmark; source/licensing review required.</w:t>
            </w:r>
          </w:p>
        </w:tc>
        <w:tc>
          <w:tcPr>
            <w:tcW w:type="dxa" w:w="2541"/>
            <w:tcMar>
              <w:top w:w="70" w:type="dxa"/>
              <w:start w:w="90" w:type="dxa"/>
              <w:bottom w:w="70" w:type="dxa"/>
              <w:end w:w="90" w:type="dxa"/>
            </w:tcMar>
            <w:vAlign w:val="top"/>
          </w:tcPr>
          <w:p>
            <w:pPr>
              <w:spacing w:after="0"/>
            </w:pPr>
            <w:r/>
            <w:hyperlink r:id="rId3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Official ISSA Cleaning Times / ISSA resource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Potential licensed structured prior for residential cleaning tasks.</w:t>
            </w:r>
          </w:p>
        </w:tc>
        <w:tc>
          <w:tcPr>
            <w:tcW w:type="dxa" w:w="2541"/>
            <w:tcMar>
              <w:top w:w="70" w:type="dxa"/>
              <w:start w:w="90" w:type="dxa"/>
              <w:bottom w:w="70" w:type="dxa"/>
              <w:end w:w="90" w:type="dxa"/>
            </w:tcMar>
            <w:vAlign w:val="top"/>
          </w:tcPr>
          <w:p>
            <w:pPr>
              <w:spacing w:after="0"/>
            </w:pPr>
            <w:r/>
            <w:hyperlink r:id="rId3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BLS American Time Use Survey User’s Guide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Activity microdata methodology; broad population prior, not task SLA.</w:t>
            </w:r>
          </w:p>
        </w:tc>
        <w:tc>
          <w:tcPr>
            <w:tcW w:type="dxa" w:w="2541"/>
            <w:tcMar>
              <w:top w:w="70" w:type="dxa"/>
              <w:start w:w="90" w:type="dxa"/>
              <w:bottom w:w="70" w:type="dxa"/>
              <w:end w:w="90" w:type="dxa"/>
            </w:tcMar>
            <w:vAlign w:val="top"/>
          </w:tcPr>
          <w:p>
            <w:pPr>
              <w:spacing w:after="0"/>
            </w:pPr>
            <w:r/>
            <w:hyperlink r:id="rId38">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EXT-029</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BLS American Time Use Survey data files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Activity-level data with duration and household context.</w:t>
            </w:r>
          </w:p>
        </w:tc>
        <w:tc>
          <w:tcPr>
            <w:tcW w:type="dxa" w:w="2541"/>
            <w:tcMar>
              <w:top w:w="70" w:type="dxa"/>
              <w:start w:w="90" w:type="dxa"/>
              <w:bottom w:w="70" w:type="dxa"/>
              <w:end w:w="90" w:type="dxa"/>
            </w:tcMar>
            <w:vAlign w:val="top"/>
          </w:tcPr>
          <w:p>
            <w:pPr>
              <w:spacing w:after="0"/>
            </w:pPr>
            <w:r/>
            <w:hyperlink r:id="rId39">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EXT-030</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Microsoft Dynamics 365 Field Service, scheduling requirements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Requirement object with duration, window, location, skills/resource type, priority.</w:t>
            </w:r>
          </w:p>
        </w:tc>
        <w:tc>
          <w:tcPr>
            <w:tcW w:type="dxa" w:w="2541"/>
            <w:tcMar>
              <w:top w:w="70" w:type="dxa"/>
              <w:start w:w="90" w:type="dxa"/>
              <w:bottom w:w="70" w:type="dxa"/>
              <w:end w:w="90" w:type="dxa"/>
            </w:tcMar>
            <w:vAlign w:val="top"/>
          </w:tcPr>
          <w:p>
            <w:pPr>
              <w:spacing w:after="0"/>
            </w:pPr>
            <w:r/>
            <w:hyperlink r:id="rId40">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Microsoft Dynamics 365 Field Service, resource types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People, equipment, facilities, crews and pools; resource availability/location patterns.</w:t>
            </w:r>
          </w:p>
        </w:tc>
        <w:tc>
          <w:tcPr>
            <w:tcW w:type="dxa" w:w="2541"/>
            <w:tcMar>
              <w:top w:w="70" w:type="dxa"/>
              <w:start w:w="90" w:type="dxa"/>
              <w:bottom w:w="70" w:type="dxa"/>
              <w:end w:w="90" w:type="dxa"/>
            </w:tcMar>
            <w:vAlign w:val="top"/>
          </w:tcPr>
          <w:p>
            <w:pPr>
              <w:spacing w:after="0"/>
            </w:pPr>
            <w:r/>
            <w:hyperlink r:id="rId4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Microsoft Dynamics Scheduling Operations Agent, goals/objectives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Weighted objectives and hard constraints; preview pattern only.</w:t>
            </w:r>
          </w:p>
        </w:tc>
        <w:tc>
          <w:tcPr>
            <w:tcW w:type="dxa" w:w="2541"/>
            <w:tcMar>
              <w:top w:w="70" w:type="dxa"/>
              <w:start w:w="90" w:type="dxa"/>
              <w:bottom w:w="70" w:type="dxa"/>
              <w:end w:w="90" w:type="dxa"/>
            </w:tcMar>
            <w:vAlign w:val="top"/>
          </w:tcPr>
          <w:p>
            <w:pPr>
              <w:spacing w:after="0"/>
            </w:pPr>
            <w:r/>
            <w:hyperlink r:id="rId4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Microsoft Dynamics Scheduling Operations Agent overview</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Interactive vs batch optimization and staged dispatcher review.</w:t>
            </w:r>
          </w:p>
        </w:tc>
        <w:tc>
          <w:tcPr>
            <w:tcW w:type="dxa" w:w="2541"/>
            <w:tcMar>
              <w:top w:w="70" w:type="dxa"/>
              <w:start w:w="90" w:type="dxa"/>
              <w:bottom w:w="70" w:type="dxa"/>
              <w:end w:w="90" w:type="dxa"/>
            </w:tcMar>
            <w:vAlign w:val="top"/>
          </w:tcPr>
          <w:p>
            <w:pPr>
              <w:spacing w:after="0"/>
            </w:pPr>
            <w:r/>
            <w:hyperlink r:id="rId4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Salesforce Field Service scheduling policies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Work rules filter candidates; weighted service objectives choose among valid options.</w:t>
            </w:r>
          </w:p>
        </w:tc>
        <w:tc>
          <w:tcPr>
            <w:tcW w:type="dxa" w:w="2541"/>
            <w:tcMar>
              <w:top w:w="70" w:type="dxa"/>
              <w:start w:w="90" w:type="dxa"/>
              <w:bottom w:w="70" w:type="dxa"/>
              <w:end w:w="90" w:type="dxa"/>
            </w:tcMar>
            <w:vAlign w:val="top"/>
          </w:tcPr>
          <w:p>
            <w:pPr>
              <w:spacing w:after="0"/>
            </w:pPr>
            <w:r/>
            <w:hyperlink r:id="rId4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Salesforce Field Service resource preferences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Preferred/required/excluded resources; continuity pattern.</w:t>
            </w:r>
          </w:p>
        </w:tc>
        <w:tc>
          <w:tcPr>
            <w:tcW w:type="dxa" w:w="2541"/>
            <w:tcMar>
              <w:top w:w="70" w:type="dxa"/>
              <w:start w:w="90" w:type="dxa"/>
              <w:bottom w:w="70" w:type="dxa"/>
              <w:end w:w="90" w:type="dxa"/>
            </w:tcMar>
            <w:vAlign w:val="top"/>
          </w:tcPr>
          <w:p>
            <w:pPr>
              <w:spacing w:after="0"/>
            </w:pPr>
            <w:r/>
            <w:hyperlink r:id="rId4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Salesforce scheduling policy guidelines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Define valid schedule first, then rank preferences; simulation guidance.</w:t>
            </w:r>
          </w:p>
        </w:tc>
        <w:tc>
          <w:tcPr>
            <w:tcW w:type="dxa" w:w="2541"/>
            <w:tcMar>
              <w:top w:w="70" w:type="dxa"/>
              <w:start w:w="90" w:type="dxa"/>
              <w:bottom w:w="70" w:type="dxa"/>
              <w:end w:w="90" w:type="dxa"/>
            </w:tcMar>
            <w:vAlign w:val="top"/>
          </w:tcPr>
          <w:p>
            <w:pPr>
              <w:spacing w:after="0"/>
            </w:pPr>
            <w:r/>
            <w:hyperlink r:id="rId4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Skedulo optimization recipes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Separate objectives: disruption, balance, travel, resources, priority, skills/rating.</w:t>
            </w:r>
          </w:p>
        </w:tc>
        <w:tc>
          <w:tcPr>
            <w:tcW w:type="dxa" w:w="2541"/>
            <w:tcMar>
              <w:top w:w="70" w:type="dxa"/>
              <w:start w:w="90" w:type="dxa"/>
              <w:bottom w:w="70" w:type="dxa"/>
              <w:end w:w="90" w:type="dxa"/>
            </w:tcMar>
            <w:vAlign w:val="top"/>
          </w:tcPr>
          <w:p>
            <w:pPr>
              <w:spacing w:after="0"/>
            </w:pPr>
            <w:r/>
            <w:hyperlink r:id="rId4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Oracle Fusion Field Service Q&amp;A</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Learned activity duration, hierarchy/fallbacks and recency-weighted statistics.</w:t>
            </w:r>
          </w:p>
        </w:tc>
        <w:tc>
          <w:tcPr>
            <w:tcW w:type="dxa" w:w="2541"/>
            <w:tcMar>
              <w:top w:w="70" w:type="dxa"/>
              <w:start w:w="90" w:type="dxa"/>
              <w:bottom w:w="70" w:type="dxa"/>
              <w:end w:w="90" w:type="dxa"/>
            </w:tcMar>
            <w:vAlign w:val="top"/>
          </w:tcPr>
          <w:p>
            <w:pPr>
              <w:spacing w:after="0"/>
            </w:pPr>
            <w:r/>
            <w:hyperlink r:id="rId48">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EXT-039</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ServiceTitan, Plan Your Team’s Capacity</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Default duration, shifts, skills, zones and real-time capacity. No-zero lesson.</w:t>
            </w:r>
          </w:p>
        </w:tc>
        <w:tc>
          <w:tcPr>
            <w:tcW w:type="dxa" w:w="2541"/>
            <w:tcMar>
              <w:top w:w="70" w:type="dxa"/>
              <w:start w:w="90" w:type="dxa"/>
              <w:bottom w:w="70" w:type="dxa"/>
              <w:end w:w="90" w:type="dxa"/>
            </w:tcMar>
            <w:vAlign w:val="top"/>
          </w:tcPr>
          <w:p>
            <w:pPr>
              <w:spacing w:after="0"/>
            </w:pPr>
            <w:r/>
            <w:hyperlink r:id="rId49">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EXT-040</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Jobber, Location Timers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Low-friction geofence arrival/leave; manual/reminder modes; workforce privacy implications.</w:t>
            </w:r>
          </w:p>
        </w:tc>
        <w:tc>
          <w:tcPr>
            <w:tcW w:type="dxa" w:w="2541"/>
            <w:tcMar>
              <w:top w:w="70" w:type="dxa"/>
              <w:start w:w="90" w:type="dxa"/>
              <w:bottom w:w="70" w:type="dxa"/>
              <w:end w:w="90" w:type="dxa"/>
            </w:tcMar>
            <w:vAlign w:val="top"/>
          </w:tcPr>
          <w:p>
            <w:pPr>
              <w:spacing w:after="0"/>
            </w:pPr>
            <w:r/>
            <w:hyperlink r:id="rId50">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Jobber, Timers and Timesheets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Visit/assessment/general time, offline timers, time categories and workflow.</w:t>
            </w:r>
          </w:p>
        </w:tc>
        <w:tc>
          <w:tcPr>
            <w:tcW w:type="dxa" w:w="2541"/>
            <w:tcMar>
              <w:top w:w="70" w:type="dxa"/>
              <w:start w:w="90" w:type="dxa"/>
              <w:bottom w:w="70" w:type="dxa"/>
              <w:end w:w="90" w:type="dxa"/>
            </w:tcMar>
            <w:vAlign w:val="top"/>
          </w:tcPr>
          <w:p>
            <w:pPr>
              <w:spacing w:after="0"/>
            </w:pPr>
            <w:r/>
            <w:hyperlink r:id="rId5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Google Maps Routes API</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Compute Routes and Route Matrix for travel time/distance.</w:t>
            </w:r>
          </w:p>
        </w:tc>
        <w:tc>
          <w:tcPr>
            <w:tcW w:type="dxa" w:w="2541"/>
            <w:tcMar>
              <w:top w:w="70" w:type="dxa"/>
              <w:start w:w="90" w:type="dxa"/>
              <w:bottom w:w="70" w:type="dxa"/>
              <w:end w:w="90" w:type="dxa"/>
            </w:tcMar>
            <w:vAlign w:val="top"/>
          </w:tcPr>
          <w:p>
            <w:pPr>
              <w:spacing w:after="0"/>
            </w:pPr>
            <w:r/>
            <w:hyperlink r:id="rId5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Google Routes traffic data controls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Traffic-aware duration, static duration and future departure time.</w:t>
            </w:r>
          </w:p>
        </w:tc>
        <w:tc>
          <w:tcPr>
            <w:tcW w:type="dxa" w:w="2541"/>
            <w:tcMar>
              <w:top w:w="70" w:type="dxa"/>
              <w:start w:w="90" w:type="dxa"/>
              <w:bottom w:w="70" w:type="dxa"/>
              <w:end w:w="90" w:type="dxa"/>
            </w:tcMar>
            <w:vAlign w:val="top"/>
          </w:tcPr>
          <w:p>
            <w:pPr>
              <w:spacing w:after="0"/>
            </w:pPr>
            <w:r/>
            <w:hyperlink r:id="rId5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Google Routes Compute Route Matrix</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Multi-origin/multi-destination routing for dispatch planning.</w:t>
            </w:r>
          </w:p>
        </w:tc>
        <w:tc>
          <w:tcPr>
            <w:tcW w:type="dxa" w:w="2541"/>
            <w:tcMar>
              <w:top w:w="70" w:type="dxa"/>
              <w:start w:w="90" w:type="dxa"/>
              <w:bottom w:w="70" w:type="dxa"/>
              <w:end w:w="90" w:type="dxa"/>
            </w:tcMar>
            <w:vAlign w:val="top"/>
          </w:tcPr>
          <w:p>
            <w:pPr>
              <w:spacing w:after="0"/>
            </w:pPr>
            <w:r/>
            <w:hyperlink r:id="rId5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Apple RoomPlan</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Optional consented on-site room geometry; store derived features where possible.</w:t>
            </w:r>
          </w:p>
        </w:tc>
        <w:tc>
          <w:tcPr>
            <w:tcW w:type="dxa" w:w="2541"/>
            <w:tcMar>
              <w:top w:w="70" w:type="dxa"/>
              <w:start w:w="90" w:type="dxa"/>
              <w:bottom w:w="70" w:type="dxa"/>
              <w:end w:w="90" w:type="dxa"/>
            </w:tcMar>
            <w:vAlign w:val="top"/>
          </w:tcPr>
          <w:p>
            <w:pPr>
              <w:spacing w:after="0"/>
            </w:pPr>
            <w:r/>
            <w:hyperlink r:id="rId5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Whirlpool, dishwasher cycle time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Machine dwell ranges and factors; model/manual should override generic values.</w:t>
            </w:r>
          </w:p>
        </w:tc>
        <w:tc>
          <w:tcPr>
            <w:tcW w:type="dxa" w:w="2541"/>
            <w:tcMar>
              <w:top w:w="70" w:type="dxa"/>
              <w:start w:w="90" w:type="dxa"/>
              <w:bottom w:w="70" w:type="dxa"/>
              <w:end w:w="90" w:type="dxa"/>
            </w:tcMar>
            <w:vAlign w:val="top"/>
          </w:tcPr>
          <w:p>
            <w:pPr>
              <w:spacing w:after="0"/>
            </w:pPr>
            <w:r/>
            <w:hyperlink r:id="rId5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Whirlpool, washing-machine cycle time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Normal and quick-wash machine dwell; load/cycle-dependent.</w:t>
            </w:r>
          </w:p>
        </w:tc>
        <w:tc>
          <w:tcPr>
            <w:tcW w:type="dxa" w:w="2541"/>
            <w:tcMar>
              <w:top w:w="70" w:type="dxa"/>
              <w:start w:w="90" w:type="dxa"/>
              <w:bottom w:w="70" w:type="dxa"/>
              <w:end w:w="90" w:type="dxa"/>
            </w:tcMar>
            <w:vAlign w:val="top"/>
          </w:tcPr>
          <w:p>
            <w:pPr>
              <w:spacing w:after="0"/>
            </w:pPr>
            <w:r/>
            <w:hyperlink r:id="rId5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FoodSafety.gov, Cold Food Storage Chart</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Structured food-storage clocks.</w:t>
            </w:r>
          </w:p>
        </w:tc>
        <w:tc>
          <w:tcPr>
            <w:tcW w:type="dxa" w:w="2541"/>
            <w:tcMar>
              <w:top w:w="70" w:type="dxa"/>
              <w:start w:w="90" w:type="dxa"/>
              <w:bottom w:w="70" w:type="dxa"/>
              <w:end w:w="90" w:type="dxa"/>
            </w:tcMar>
            <w:vAlign w:val="top"/>
          </w:tcPr>
          <w:p>
            <w:pPr>
              <w:spacing w:after="0"/>
            </w:pPr>
            <w:r/>
            <w:hyperlink r:id="rId58">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EXT-049</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FoodSafety.gov, FoodKeeper</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Item-level storage guidance; USDA FSIS/Cornell/FMI.</w:t>
            </w:r>
          </w:p>
        </w:tc>
        <w:tc>
          <w:tcPr>
            <w:tcW w:type="dxa" w:w="2541"/>
            <w:tcMar>
              <w:top w:w="70" w:type="dxa"/>
              <w:start w:w="90" w:type="dxa"/>
              <w:bottom w:w="70" w:type="dxa"/>
              <w:end w:w="90" w:type="dxa"/>
            </w:tcMar>
            <w:vAlign w:val="top"/>
          </w:tcPr>
          <w:p>
            <w:pPr>
              <w:spacing w:after="0"/>
            </w:pPr>
            <w:r/>
            <w:hyperlink r:id="rId59">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EXT-050</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EPA, Composting at Home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Process/cure timing and maintenance guidance.</w:t>
            </w:r>
          </w:p>
        </w:tc>
        <w:tc>
          <w:tcPr>
            <w:tcW w:type="dxa" w:w="2541"/>
            <w:tcMar>
              <w:top w:w="70" w:type="dxa"/>
              <w:start w:w="90" w:type="dxa"/>
              <w:bottom w:w="70" w:type="dxa"/>
              <w:end w:w="90" w:type="dxa"/>
            </w:tcMar>
            <w:vAlign w:val="top"/>
          </w:tcPr>
          <w:p>
            <w:pPr>
              <w:spacing w:after="0"/>
            </w:pPr>
            <w:r/>
            <w:hyperlink r:id="rId60">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U.S. Fire Administration, smoke alarm guidance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Safety cadence: testing, battery/replacement rules.</w:t>
            </w:r>
          </w:p>
        </w:tc>
        <w:tc>
          <w:tcPr>
            <w:tcW w:type="dxa" w:w="2541"/>
            <w:tcMar>
              <w:top w:w="70" w:type="dxa"/>
              <w:start w:w="90" w:type="dxa"/>
              <w:bottom w:w="70" w:type="dxa"/>
              <w:end w:w="90" w:type="dxa"/>
            </w:tcMar>
            <w:vAlign w:val="top"/>
          </w:tcPr>
          <w:p>
            <w:pPr>
              <w:spacing w:after="0"/>
            </w:pPr>
            <w:r/>
            <w:hyperlink r:id="rId6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ENERGY STAR, heating/cooling maintenance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HVAC filter inspection/change and seasonal service planning.</w:t>
            </w:r>
          </w:p>
        </w:tc>
        <w:tc>
          <w:tcPr>
            <w:tcW w:type="dxa" w:w="2541"/>
            <w:tcMar>
              <w:top w:w="70" w:type="dxa"/>
              <w:start w:w="90" w:type="dxa"/>
              <w:bottom w:w="70" w:type="dxa"/>
              <w:end w:w="90" w:type="dxa"/>
            </w:tcMar>
            <w:vAlign w:val="top"/>
          </w:tcPr>
          <w:p>
            <w:pPr>
              <w:spacing w:after="0"/>
            </w:pPr>
            <w:r/>
            <w:hyperlink r:id="rId6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FEMA Emergency Financial First Aid Kit</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Household-document payload research only; source includes commercial-use restrictions.</w:t>
            </w:r>
          </w:p>
        </w:tc>
        <w:tc>
          <w:tcPr>
            <w:tcW w:type="dxa" w:w="2541"/>
            <w:tcMar>
              <w:top w:w="70" w:type="dxa"/>
              <w:start w:w="90" w:type="dxa"/>
              <w:bottom w:w="70" w:type="dxa"/>
              <w:end w:w="90" w:type="dxa"/>
            </w:tcMar>
            <w:vAlign w:val="top"/>
          </w:tcPr>
          <w:p>
            <w:pPr>
              <w:spacing w:after="0"/>
            </w:pPr>
            <w:r/>
            <w:hyperlink r:id="rId6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NHTSA recalls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VIN/license recall lookup and periodic recall-check guidance.</w:t>
            </w:r>
          </w:p>
        </w:tc>
        <w:tc>
          <w:tcPr>
            <w:tcW w:type="dxa" w:w="2541"/>
            <w:tcMar>
              <w:top w:w="70" w:type="dxa"/>
              <w:start w:w="90" w:type="dxa"/>
              <w:bottom w:w="70" w:type="dxa"/>
              <w:end w:w="90" w:type="dxa"/>
            </w:tcMar>
            <w:vAlign w:val="top"/>
          </w:tcPr>
          <w:p>
            <w:pPr>
              <w:spacing w:after="0"/>
            </w:pPr>
            <w:r/>
            <w:hyperlink r:id="rId6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U.S. State Department passports</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Current processing lead times and document process.</w:t>
            </w:r>
          </w:p>
        </w:tc>
        <w:tc>
          <w:tcPr>
            <w:tcW w:type="dxa" w:w="2541"/>
            <w:tcMar>
              <w:top w:w="70" w:type="dxa"/>
              <w:start w:w="90" w:type="dxa"/>
              <w:bottom w:w="70" w:type="dxa"/>
              <w:end w:w="90" w:type="dxa"/>
            </w:tcMar>
            <w:vAlign w:val="top"/>
          </w:tcPr>
          <w:p>
            <w:pPr>
              <w:spacing w:after="0"/>
            </w:pPr>
            <w:r/>
            <w:hyperlink r:id="rId6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OPM Federal Benefits Open Season Manual</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Formal benefits enrollment window logic for applicable households.</w:t>
            </w:r>
          </w:p>
        </w:tc>
        <w:tc>
          <w:tcPr>
            <w:tcW w:type="dxa" w:w="2541"/>
            <w:tcMar>
              <w:top w:w="70" w:type="dxa"/>
              <w:start w:w="90" w:type="dxa"/>
              <w:bottom w:w="70" w:type="dxa"/>
              <w:end w:w="90" w:type="dxa"/>
            </w:tcMar>
            <w:vAlign w:val="top"/>
          </w:tcPr>
          <w:p>
            <w:pPr>
              <w:spacing w:after="0"/>
            </w:pPr>
            <w:r/>
            <w:hyperlink r:id="rId6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DCSA, Changes to Five-Year Update Criteria (Apr. 2026)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Current PVQ five-year update rule; supersedes older reinvestigation assumption.</w:t>
            </w:r>
          </w:p>
        </w:tc>
        <w:tc>
          <w:tcPr>
            <w:tcW w:type="dxa" w:w="2541"/>
            <w:tcMar>
              <w:top w:w="70" w:type="dxa"/>
              <w:start w:w="90" w:type="dxa"/>
              <w:bottom w:w="70" w:type="dxa"/>
              <w:end w:w="90" w:type="dxa"/>
            </w:tcMar>
            <w:vAlign w:val="top"/>
          </w:tcPr>
          <w:p>
            <w:pPr>
              <w:spacing w:after="0"/>
            </w:pPr>
            <w:r/>
            <w:hyperlink r:id="rId6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Military OneSource, Plan My Move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Personalized chronological PCS checklist and conditional task generation.</w:t>
            </w:r>
          </w:p>
        </w:tc>
        <w:tc>
          <w:tcPr>
            <w:tcW w:type="dxa" w:w="2541"/>
            <w:tcMar>
              <w:top w:w="70" w:type="dxa"/>
              <w:start w:w="90" w:type="dxa"/>
              <w:bottom w:w="70" w:type="dxa"/>
              <w:end w:w="90" w:type="dxa"/>
            </w:tcMar>
            <w:vAlign w:val="top"/>
          </w:tcPr>
          <w:p>
            <w:pPr>
              <w:spacing w:after="0"/>
            </w:pPr>
            <w:r/>
            <w:hyperlink r:id="rId68">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EXT-059</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CDC, Pet Travel Safety</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Travel preparation, microchip/vaccination/document requirements; destination-specific.</w:t>
            </w:r>
          </w:p>
        </w:tc>
        <w:tc>
          <w:tcPr>
            <w:tcW w:type="dxa" w:w="2541"/>
            <w:tcMar>
              <w:top w:w="70" w:type="dxa"/>
              <w:start w:w="90" w:type="dxa"/>
              <w:bottom w:w="70" w:type="dxa"/>
              <w:end w:w="90" w:type="dxa"/>
            </w:tcMar>
            <w:vAlign w:val="top"/>
          </w:tcPr>
          <w:p>
            <w:pPr>
              <w:spacing w:after="0"/>
            </w:pPr>
            <w:r/>
            <w:hyperlink r:id="rId69">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EXT-060</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CMS Medication Therapy Management evaluation</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Annual CMR / quarterly TMR example for eligible Part D MTM populations.</w:t>
            </w:r>
          </w:p>
        </w:tc>
        <w:tc>
          <w:tcPr>
            <w:tcW w:type="dxa" w:w="2541"/>
            <w:tcMar>
              <w:top w:w="70" w:type="dxa"/>
              <w:start w:w="90" w:type="dxa"/>
              <w:bottom w:w="70" w:type="dxa"/>
              <w:end w:w="90" w:type="dxa"/>
            </w:tcMar>
            <w:vAlign w:val="top"/>
          </w:tcPr>
          <w:p>
            <w:pPr>
              <w:spacing w:after="0"/>
            </w:pPr>
            <w:r/>
            <w:hyperlink r:id="rId70">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EXT-061</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U.S. Department of Education, IDEA evaluation/reevaluation</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Formal school-support timeline logic; state overrides may apply.</w:t>
            </w:r>
          </w:p>
        </w:tc>
        <w:tc>
          <w:tcPr>
            <w:tcW w:type="dxa" w:w="2541"/>
            <w:tcMar>
              <w:top w:w="70" w:type="dxa"/>
              <w:start w:w="90" w:type="dxa"/>
              <w:bottom w:w="70" w:type="dxa"/>
              <w:end w:w="90" w:type="dxa"/>
            </w:tcMar>
            <w:vAlign w:val="top"/>
          </w:tcPr>
          <w:p>
            <w:pPr>
              <w:spacing w:after="0"/>
            </w:pPr>
            <w:r/>
            <w:hyperlink r:id="rId71">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EXT-062</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CPSC Public Playground Safety Handbook</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Playset surfacing/maintenance requirements and inspection checklist.</w:t>
            </w:r>
          </w:p>
        </w:tc>
        <w:tc>
          <w:tcPr>
            <w:tcW w:type="dxa" w:w="2541"/>
            <w:tcMar>
              <w:top w:w="70" w:type="dxa"/>
              <w:start w:w="90" w:type="dxa"/>
              <w:bottom w:w="70" w:type="dxa"/>
              <w:end w:w="90" w:type="dxa"/>
            </w:tcMar>
            <w:vAlign w:val="top"/>
          </w:tcPr>
          <w:p>
            <w:pPr>
              <w:spacing w:after="0"/>
            </w:pPr>
            <w:r/>
            <w:hyperlink r:id="rId72">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EXT-063</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Federal Student Aid, 2026-27 FAFSA form</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Federal/state aid deadlines; refresh by award year.</w:t>
            </w:r>
          </w:p>
        </w:tc>
        <w:tc>
          <w:tcPr>
            <w:tcW w:type="dxa" w:w="2541"/>
            <w:tcMar>
              <w:top w:w="70" w:type="dxa"/>
              <w:start w:w="90" w:type="dxa"/>
              <w:bottom w:w="70" w:type="dxa"/>
              <w:end w:w="90" w:type="dxa"/>
            </w:tcMar>
            <w:vAlign w:val="top"/>
          </w:tcPr>
          <w:p>
            <w:pPr>
              <w:spacing w:after="0"/>
            </w:pPr>
            <w:r/>
            <w:hyperlink r:id="rId73">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EXT-064</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Generac home standby generator maintenance schedule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Asset/model-specific maintenance intervals; manual overrides generic reference.</w:t>
            </w:r>
          </w:p>
        </w:tc>
        <w:tc>
          <w:tcPr>
            <w:tcW w:type="dxa" w:w="2541"/>
            <w:tcMar>
              <w:top w:w="70" w:type="dxa"/>
              <w:start w:w="90" w:type="dxa"/>
              <w:bottom w:w="70" w:type="dxa"/>
              <w:end w:w="90" w:type="dxa"/>
            </w:tcMar>
            <w:vAlign w:val="top"/>
          </w:tcPr>
          <w:p>
            <w:pPr>
              <w:spacing w:after="0"/>
            </w:pPr>
            <w:r/>
            <w:hyperlink r:id="rId74">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EXT-065</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ISA Basic Tree Risk Assessment Form</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Professional assessor sets time frame/reassessment context; do not invent generic annual interval.</w:t>
            </w:r>
          </w:p>
        </w:tc>
        <w:tc>
          <w:tcPr>
            <w:tcW w:type="dxa" w:w="2541"/>
            <w:tcMar>
              <w:top w:w="70" w:type="dxa"/>
              <w:start w:w="90" w:type="dxa"/>
              <w:bottom w:w="70" w:type="dxa"/>
              <w:end w:w="90" w:type="dxa"/>
            </w:tcMar>
            <w:vAlign w:val="top"/>
          </w:tcPr>
          <w:p>
            <w:pPr>
              <w:spacing w:after="0"/>
            </w:pPr>
            <w:r/>
            <w:hyperlink r:id="rId75">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EXT-066</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NFIP policy renewal language</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Policy-specific renewal clock; insurer/policy facts control.</w:t>
            </w:r>
          </w:p>
        </w:tc>
        <w:tc>
          <w:tcPr>
            <w:tcW w:type="dxa" w:w="2541"/>
            <w:tcMar>
              <w:top w:w="70" w:type="dxa"/>
              <w:start w:w="90" w:type="dxa"/>
              <w:bottom w:w="70" w:type="dxa"/>
              <w:end w:w="90" w:type="dxa"/>
            </w:tcMar>
            <w:vAlign w:val="top"/>
          </w:tcPr>
          <w:p>
            <w:pPr>
              <w:spacing w:after="0"/>
            </w:pPr>
            <w:r/>
            <w:hyperlink r:id="rId76">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EXT-067</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FCPS 2026-27 Standard School Year Calendar</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Example local public calendar feed.</w:t>
            </w:r>
          </w:p>
        </w:tc>
        <w:tc>
          <w:tcPr>
            <w:tcW w:type="dxa" w:w="2541"/>
            <w:tcMar>
              <w:top w:w="70" w:type="dxa"/>
              <w:start w:w="90" w:type="dxa"/>
              <w:bottom w:w="70" w:type="dxa"/>
              <w:end w:w="90" w:type="dxa"/>
            </w:tcMar>
            <w:vAlign w:val="top"/>
          </w:tcPr>
          <w:p>
            <w:pPr>
              <w:spacing w:after="0"/>
            </w:pPr>
            <w:r/>
            <w:hyperlink r:id="rId77">
              <w:r>
                <w:rPr>
                  <w:color w:val="0563C1"/>
                  <w:u w:val="single"/>
                  <w:rFonts w:ascii="Aptos" w:hAnsi="Aptos"/>
                  <w:sz w:val="14"/>
                </w:rPr>
                <w:t>Open source</w:t>
              </w:r>
            </w:hyperlink>
          </w:p>
        </w:tc>
      </w:tr>
      <w:tr>
        <w:trPr>
          <w:cantSplit w:val="1"/>
        </w:trPr>
        <w:tc>
          <w:tcPr>
            <w:tcW w:type="dxa" w:w="2541"/>
            <w:tcMar>
              <w:top w:w="70" w:type="dxa"/>
              <w:start w:w="90" w:type="dxa"/>
              <w:bottom w:w="70" w:type="dxa"/>
              <w:end w:w="90" w:type="dxa"/>
            </w:tcMar>
            <w:vAlign w:val="top"/>
          </w:tcPr>
          <w:p>
            <w:pPr>
              <w:spacing w:after="0" w:before="0"/>
            </w:pPr>
            <w:r/>
            <w:r>
              <w:rPr>
                <w:rFonts w:ascii="Aptos" w:hAnsi="Aptos"/>
                <w:b w:val="0"/>
                <w:color w:val="1D252C"/>
                <w:sz w:val="14"/>
              </w:rPr>
              <w:t>EXT-068</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NOAA climate normals methodology</w:t>
            </w:r>
          </w:p>
        </w:tc>
        <w:tc>
          <w:tcPr>
            <w:tcW w:type="dxa" w:w="2541"/>
            <w:tcMar>
              <w:top w:w="70" w:type="dxa"/>
              <w:start w:w="90" w:type="dxa"/>
              <w:bottom w:w="70" w:type="dxa"/>
              <w:end w:w="90" w:type="dxa"/>
            </w:tcMar>
            <w:vAlign w:val="top"/>
          </w:tcPr>
          <w:p>
            <w:pPr>
              <w:spacing w:after="0" w:before="0"/>
            </w:pPr>
            <w:r/>
            <w:r>
              <w:rPr>
                <w:rFonts w:ascii="Aptos" w:hAnsi="Aptos"/>
                <w:b w:val="0"/>
                <w:color w:val="1D252C"/>
                <w:sz w:val="14"/>
              </w:rPr>
              <w:t>Frost/freeze and growing-season normals for seasonal priors.</w:t>
            </w:r>
          </w:p>
        </w:tc>
        <w:tc>
          <w:tcPr>
            <w:tcW w:type="dxa" w:w="2541"/>
            <w:tcMar>
              <w:top w:w="70" w:type="dxa"/>
              <w:start w:w="90" w:type="dxa"/>
              <w:bottom w:w="70" w:type="dxa"/>
              <w:end w:w="90" w:type="dxa"/>
            </w:tcMar>
            <w:vAlign w:val="top"/>
          </w:tcPr>
          <w:p>
            <w:pPr>
              <w:spacing w:after="0"/>
            </w:pPr>
            <w:r/>
            <w:hyperlink r:id="rId78">
              <w:r>
                <w:rPr>
                  <w:color w:val="0563C1"/>
                  <w:u w:val="single"/>
                  <w:rFonts w:ascii="Aptos" w:hAnsi="Aptos"/>
                  <w:sz w:val="14"/>
                </w:rPr>
                <w:t>Open source</w:t>
              </w:r>
            </w:hyperlink>
          </w:p>
        </w:tc>
      </w:tr>
    </w:tbl>
    <w:p>
      <w:r>
        <w:br w:type="page"/>
      </w:r>
    </w:p>
    <w:p>
      <w:pPr>
        <w:pStyle w:val="Heading1"/>
        <w:spacing w:before="200" w:after="80"/>
        <w:keepNext w:val="1"/>
      </w:pPr>
      <w:r>
        <w:t>Appendix B. Internal Well Kept source map used for this brief</w:t>
      </w:r>
    </w:p>
    <w:tbl>
      <w:tblPr>
        <w:tblStyle w:val="TableGrid"/>
        <w:tblW w:type="auto" w:w="0"/>
        <w:jc w:val="center"/>
        <w:tblLook w:firstColumn="1" w:firstRow="1" w:lastColumn="0" w:lastRow="0" w:noHBand="0" w:noVBand="1" w:val="04A0"/>
      </w:tblPr>
      <w:tblGrid>
        <w:gridCol w:w="5083"/>
        <w:gridCol w:w="5083"/>
      </w:tblGrid>
      <w:tr>
        <w:trPr>
          <w:tblHeader w:val="true"/>
          <w:cantSplit w:val="1"/>
        </w:trPr>
        <w:tc>
          <w:tcPr>
            <w:tcW w:type="dxa" w:w="4392"/>
            <w:shd w:fill="17324D"/>
            <w:tcMar>
              <w:top w:w="70" w:type="dxa"/>
              <w:start w:w="90" w:type="dxa"/>
              <w:bottom w:w="70" w:type="dxa"/>
              <w:end w:w="90" w:type="dxa"/>
            </w:tcMar>
            <w:vAlign w:val="center"/>
          </w:tcPr>
          <w:p>
            <w:pPr>
              <w:spacing w:after="0" w:before="0"/>
            </w:pPr>
            <w:r/>
            <w:r>
              <w:rPr>
                <w:rFonts w:ascii="Aptos" w:hAnsi="Aptos"/>
                <w:b/>
                <w:color w:val="FFFFFF"/>
                <w:sz w:val="16"/>
              </w:rPr>
              <w:t>Internal source</w:t>
            </w:r>
          </w:p>
        </w:tc>
        <w:tc>
          <w:tcPr>
            <w:tcW w:type="dxa" w:w="6480"/>
            <w:shd w:fill="17324D"/>
            <w:tcMar>
              <w:top w:w="70" w:type="dxa"/>
              <w:start w:w="90" w:type="dxa"/>
              <w:bottom w:w="70" w:type="dxa"/>
              <w:end w:w="90" w:type="dxa"/>
            </w:tcMar>
            <w:vAlign w:val="center"/>
          </w:tcPr>
          <w:p>
            <w:pPr>
              <w:spacing w:after="0" w:before="0"/>
            </w:pPr>
            <w:r/>
            <w:r>
              <w:rPr>
                <w:rFonts w:ascii="Aptos" w:hAnsi="Aptos"/>
                <w:b/>
                <w:color w:val="FFFFFF"/>
                <w:sz w:val="16"/>
              </w:rPr>
              <w:t>How it informs implementation</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00_CURRENT_AUTHORITY.txt</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Conflict rule, current boundaries, terminology and privacy controls.</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WK-APP-001 Household Intelligence Backend Spec</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One household record, three role-scoped views, previsit briefing, required close flow, hours capture, horizon/calendar, external public-feed concept.</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WK-APP-002 If/Then Anticipation Library</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Trigger/cascade patterns that can become future Work Requirement generators.</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WK-APP-003 Playbook To Application Architecture</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Record-first architecture, one source of truth, field sensitivity/provenance and client-write review.</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WK-APP-003 Addendum A1 Standards Store</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Global versioned standard provisions and field/method bindings; evidence should remain a sibling store.</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WK-APP-004 Collision Detection Spec</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Collision classes; explicit gaps in person, transport, space, authority and load-density structure.</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WK-APP-005 Knowledge Half Life and Recommendations</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Staleness and recommendation governance relevant to source/evidence expiry.</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WK-APP-006 Trigger Batch Scope</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Batch/trigger governance and scope.</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WK-APP-007 What Is Needed and When</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Dependency graph, BLOCKING/STAGED/BACKGROUND, no-ask-twice, provenance/decline semantics.</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WK-APP-008 Making Anticipation Functional</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Anticipation engine implementation and staff-first behavior.</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WK-DEV-001 Requirements</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P0/P1 behaviors including close flow, hours capture, geofence suggestion/manual override, privacy and security.</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WK-DEV-002 User Stories</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Current product-role behavior to extend.</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WK-DEV-003 Technology Stack</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Current verified API/offline/email corrections and modular-monolith constraints.</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WK-DEV-004 Conventions</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Naming, repositories, event/audit conventions; check against repo where docs drift.</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WK-DEV-005 Developer Handbook</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Enforced doctrine, build order and explicit v1 exclusion of scheduling optimization algorithms.</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 Four-Stage Application Spec</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Decision Rights block and anticipate/identify/decide/monitor state model.</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 Task Stacking and Errand Optimization</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earliest-by, due-by, weak-then-learned duration, effort/context, dependencies, privacy membrane, later optimizer.</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 Operating-Year Capacity Governance</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8-12 week projection, effort library from actuals, presence-required/remote-able, reserve, no leaderboards, authoritative HOM capacity self-report.</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WK-STD-018 Visit Method Efficiency Standard</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Start dwell tasks early, sequence kitchen/laundry, reduce unnecessary movement, improve method without rushing.</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WK-SOP-014 Scheduling, Capacity, Coverage</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Current scheduling/coverage doctrine; reconcile any numeric assumptions to current model before coding.</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WK-PLAY-001T Master Template + Intake Guide</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Anchor visits, household rules, routines, vendors and Playbook-specific deviations.</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WK-PLAY-002 Intake Workbook + WK-PLAY-003 Intake Field Schema</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Existing declared inputs from which computable workload profiles can be derived.</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WK-PLAY-001 Addendum C Temporal Layer</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Calendars, renewals, asset age, seasons and lead-time logic.</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 Task Inventory v1.3</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Canonical 344-task set reviewed in this thread.</w:t>
            </w:r>
          </w:p>
        </w:tc>
      </w:tr>
      <w:tr>
        <w:trPr>
          <w:cantSplit w:val="1"/>
        </w:trPr>
        <w:tc>
          <w:tcPr>
            <w:tcW w:type="dxa" w:w="4392"/>
            <w:tcMar>
              <w:top w:w="70" w:type="dxa"/>
              <w:start w:w="90" w:type="dxa"/>
              <w:bottom w:w="70" w:type="dxa"/>
              <w:end w:w="90" w:type="dxa"/>
            </w:tcMar>
            <w:vAlign w:val="top"/>
          </w:tcPr>
          <w:p>
            <w:pPr>
              <w:spacing w:after="0" w:before="0"/>
            </w:pPr>
            <w:r/>
            <w:r>
              <w:rPr>
                <w:rFonts w:ascii="Aptos" w:hAnsi="Aptos"/>
                <w:b w:val="0"/>
                <w:color w:val="1D252C"/>
                <w:sz w:val="15"/>
              </w:rPr>
              <w:t>HZ Live Household Record Master + HZ Test Kit</w:t>
            </w:r>
          </w:p>
        </w:tc>
        <w:tc>
          <w:tcPr>
            <w:tcW w:type="dxa" w:w="6480"/>
            <w:tcMar>
              <w:top w:w="70" w:type="dxa"/>
              <w:start w:w="90" w:type="dxa"/>
              <w:bottom w:w="70" w:type="dxa"/>
              <w:end w:w="90" w:type="dxa"/>
            </w:tcMar>
            <w:vAlign w:val="top"/>
          </w:tcPr>
          <w:p>
            <w:pPr>
              <w:spacing w:after="0" w:before="0"/>
            </w:pPr>
            <w:r/>
            <w:r>
              <w:rPr>
                <w:rFonts w:ascii="Aptos" w:hAnsi="Aptos"/>
                <w:b w:val="0"/>
                <w:color w:val="1D252C"/>
                <w:sz w:val="15"/>
              </w:rPr>
              <w:t>Time and Friction instrumentation, provenance states and Household Zero validation model.</w:t>
            </w:r>
          </w:p>
        </w:tc>
      </w:tr>
      <w:tr>
        <w:trPr>
          <w:cantSplit w:val="1"/>
        </w:trPr>
        <w:tc>
          <w:tcPr>
            <w:tcW w:type="dxa" w:w="4392"/>
            <w:shd w:fill="FAFBFC"/>
            <w:tcMar>
              <w:top w:w="70" w:type="dxa"/>
              <w:start w:w="90" w:type="dxa"/>
              <w:bottom w:w="70" w:type="dxa"/>
              <w:end w:w="90" w:type="dxa"/>
            </w:tcMar>
            <w:vAlign w:val="top"/>
          </w:tcPr>
          <w:p>
            <w:pPr>
              <w:spacing w:after="0" w:before="0"/>
            </w:pPr>
            <w:r/>
            <w:r>
              <w:rPr>
                <w:rFonts w:ascii="Aptos" w:hAnsi="Aptos"/>
                <w:b w:val="0"/>
                <w:color w:val="1D252C"/>
                <w:sz w:val="15"/>
              </w:rPr>
              <w:t>WK-FIN-015 Model Instrumentation Map</w:t>
            </w:r>
          </w:p>
        </w:tc>
        <w:tc>
          <w:tcPr>
            <w:tcW w:type="dxa" w:w="6480"/>
            <w:shd w:fill="FAFBFC"/>
            <w:tcMar>
              <w:top w:w="70" w:type="dxa"/>
              <w:start w:w="90" w:type="dxa"/>
              <w:bottom w:w="70" w:type="dxa"/>
              <w:end w:w="90" w:type="dxa"/>
            </w:tcMar>
            <w:vAlign w:val="top"/>
          </w:tcPr>
          <w:p>
            <w:pPr>
              <w:spacing w:after="0" w:before="0"/>
            </w:pPr>
            <w:r/>
            <w:r>
              <w:rPr>
                <w:rFonts w:ascii="Aptos" w:hAnsi="Aptos"/>
                <w:b w:val="0"/>
                <w:color w:val="1D252C"/>
                <w:sz w:val="15"/>
              </w:rPr>
              <w:t>Destination for forecast/actual/cost-to-serve instrumentation.</w:t>
            </w:r>
          </w:p>
        </w:tc>
      </w:tr>
    </w:tbl>
    <w:p>
      <w:pPr>
        <w:spacing w:after="20"/>
      </w:pPr>
    </w:p>
    <w:p>
      <w:r>
        <w:br w:type="page"/>
      </w:r>
    </w:p>
    <w:p>
      <w:pPr>
        <w:pStyle w:val="Heading1"/>
        <w:spacing w:before="200" w:after="80"/>
        <w:keepNext w:val="1"/>
      </w:pPr>
      <w:r>
        <w:t>Appendix C. Worked example: laundry requirement</w:t>
      </w:r>
    </w:p>
    <w:p>
      <w:pPr>
        <w:spacing w:after="100" w:line="250" w:lineRule="auto"/>
      </w:pPr>
      <w:r>
        <w:rPr>
          <w:rFonts w:ascii="Aptos" w:hAnsi="Aptos"/>
          <w:i w:val="0"/>
        </w:rPr>
        <w:t>This example is illustrative. Values are placeholders and must not be treated as Well Kept standards until the evidence/calibration process supplies them.</w:t>
      </w:r>
    </w:p>
    <w:tbl>
      <w:tblPr>
        <w:tblStyle w:val="TableGrid"/>
        <w:tblW w:type="auto" w:w="0"/>
        <w:tblLook w:firstColumn="1" w:firstRow="1" w:lastColumn="0" w:lastRow="0" w:noHBand="0" w:noVBand="1" w:val="04A0"/>
      </w:tblPr>
      <w:tblGrid>
        <w:gridCol w:w="10166"/>
      </w:tblGrid>
      <w:tr>
        <w:trPr>
          <w:cantSplit w:val="1"/>
        </w:trPr>
        <w:tc>
          <w:tcPr>
            <w:tcW w:type="dxa" w:w="10166"/>
            <w:shd w:fill="F5F7F8"/>
            <w:tcMar>
              <w:top w:w="90" w:type="dxa"/>
              <w:start w:w="110" w:type="dxa"/>
              <w:bottom w:w="90" w:type="dxa"/>
              <w:end w:w="110" w:type="dxa"/>
            </w:tcMar>
          </w:tcPr>
          <w:p>
            <w:pPr>
              <w:spacing w:after="0"/>
            </w:pPr>
            <w:r>
              <w:rPr>
                <w:rFonts w:ascii="Consolas" w:hAnsi="Consolas"/>
                <w:color w:val="1D252C"/>
                <w:sz w:val="16"/>
              </w:rPr>
              <w:t>Task Definition</w:t>
              <w:br/>
              <w:t xml:space="preserve">  task_id: T-275</w:t>
              <w:br/>
              <w:t xml:space="preserve">  name: Laundry cycles run, folded and put away</w:t>
              <w:br/>
              <w:t xml:space="preserve">  governing_provisions: [...]</w:t>
              <w:br/>
              <w:br/>
              <w:t>Task Evidence</w:t>
              <w:br/>
              <w:t xml:space="preserve">  creator observation A: boundary = sort family laundry + socks + some put-away</w:t>
              <w:br/>
              <w:t xml:space="preserve">  creator observation B: boundary = put away two loads</w:t>
              <w:br/>
              <w:t xml:space="preserve">  manufacturer reference: washer normal-cycle machine dwell</w:t>
              <w:br/>
              <w:t xml:space="preserve">  evidence fit: partial / asset-specific as applicable</w:t>
              <w:br/>
              <w:br/>
              <w:t>Household Task Profile</w:t>
              <w:br/>
              <w:t xml:space="preserve">  household_id: H-...</w:t>
              <w:br/>
              <w:t xml:space="preserve">  task_id: T-275</w:t>
              <w:br/>
              <w:t xml:space="preserve">  typical_loads: observed</w:t>
              <w:br/>
              <w:t xml:space="preserve">  laundry_zone: basement</w:t>
              <w:br/>
              <w:t xml:space="preserve">  destination_zone: second floor</w:t>
              <w:br/>
              <w:t xml:space="preserve">  hang_fold_mix: observed</w:t>
              <w:br/>
              <w:t xml:space="preserve">  special_care: declared</w:t>
              <w:br/>
              <w:t xml:space="preserve">  washer_asset_id: ...</w:t>
              <w:br/>
              <w:t xml:space="preserve">  presence_required: true</w:t>
              <w:br/>
              <w:t xml:space="preserve">  parallelizable_dwell: true</w:t>
              <w:br/>
              <w:t xml:space="preserve">  learned_profile: pending</w:t>
              <w:br/>
              <w:br/>
              <w:t>Work Requirement for a specific visit</w:t>
              <w:br/>
              <w:t xml:space="preserve">  quantity: predicted from household pattern</w:t>
              <w:br/>
              <w:t xml:space="preserve">  earliest_at / due_at: from Playbook cadence</w:t>
              <w:br/>
              <w:t xml:space="preserve">  active estimate: from hierarchy</w:t>
              <w:br/>
              <w:t xml:space="preserve">  machine dwell: from household asset / observed cycle</w:t>
              <w:br/>
              <w:t xml:space="preserve">  movement modifier: household layout</w:t>
              <w:br/>
              <w:t xml:space="preserve">  dependencies: start early; finish before visit close</w:t>
              <w:br/>
              <w:t xml:space="preserve">  decision_state: ready</w:t>
              <w:br/>
              <w:t xml:space="preserve">  confidence: medium/low until household actuals mature</w:t>
              <w:br/>
              <w:br/>
              <w:t>Actual Occurrence</w:t>
              <w:br/>
              <w:t xml:space="preserve">  actual quantity</w:t>
              <w:br/>
              <w:t xml:space="preserve">  access/setup/active/movement/dwell/close segments</w:t>
              <w:br/>
              <w:t xml:space="preserve">  variance reason</w:t>
              <w:br/>
              <w:t xml:space="preserve">  completed_to_standard</w:t>
              <w:br/>
              <w:t xml:space="preserve">  rework</w:t>
              <w:br/>
              <w:t xml:space="preserve">  eligible_for_learning</w:t>
              <w:br/>
              <w:br/>
              <w:t>Learning</w:t>
              <w:br/>
              <w:t xml:space="preserve">  update household-specific distribution only after exception handling</w:t>
              <w:br/>
              <w:t xml:space="preserve">  keep manufacturer dwell and creator observations as priors/provenance</w:t>
              <w:br/>
              <w:t xml:space="preserve">  do not generate HOM speed score</w:t>
              <w:br/>
            </w:r>
          </w:p>
        </w:tc>
      </w:tr>
    </w:tbl>
    <w:p>
      <w:pPr>
        <w:pStyle w:val="Heading1"/>
        <w:spacing w:before="200" w:after="80"/>
        <w:keepNext w:val="1"/>
        <w:pageBreakBefore w:val="1"/>
      </w:pPr>
      <w:r>
        <w:t>Final instruction to the developer</w:t>
      </w:r>
    </w:p>
    <w:p>
      <w:pPr>
        <w:spacing w:after="100" w:line="250" w:lineRule="auto"/>
      </w:pPr>
      <w:r>
        <w:rPr>
          <w:rFonts w:ascii="Aptos" w:hAnsi="Aptos"/>
          <w:i w:val="0"/>
        </w:rPr>
        <w:t>Build the measurement and forecasting substrate first. The purpose of this work is not to make household operations move faster. It is to make Well Kept know, with increasing confidence, what a household actually requires; know why it requires that work; protect the time, continuity and reserve needed to deliver it calmly; and make staffing, scope and scheduling decisions from evidence instead of founder memory.</w:t>
      </w:r>
    </w:p>
    <w:p>
      <w:pPr>
        <w:spacing w:after="100" w:line="250" w:lineRule="auto"/>
      </w:pPr>
      <w:r>
        <w:rPr>
          <w:rFonts w:ascii="Aptos" w:hAnsi="Aptos"/>
          <w:i w:val="0"/>
        </w:rPr>
        <w:t>If a proposed implementation makes a precise forecast impossible to explain, makes a HOM feel timed against a quota, silently crosses Decision Rights, increases unnecessary personal-data collection, or requires an autonomous optimizer before the data is calibrated, it is moving away from the current Well Kept architecture rather than completing it.</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B75"/>
        <w:sz w:val="14"/>
      </w:rPr>
      <w:t>Confidential working brief  |  24 August 2026  |  Proposed changes require normal Well Kept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C3D2E"/>
        <w:sz w:val="15"/>
      </w:rPr>
      <w:t>WELL KEPT  |  DEVELOPER IMPLEMENTATION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1D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D2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08D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06B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ilydot.com/how-long-does-it-take-tiktok" TargetMode="External"/><Relationship Id="rId12" Type="http://schemas.openxmlformats.org/officeDocument/2006/relationships/hyperlink" Target="https://www.thebump.com/news/how-long-does-it-actually-take-tiktok-series" TargetMode="External"/><Relationship Id="rId13" Type="http://schemas.openxmlformats.org/officeDocument/2006/relationships/hyperlink" Target="https://vi.web-platforms-vi.nyti.nyt.net/2026/03/25/realestate/decluttering-myths-spring-cleaning.html" TargetMode="External"/><Relationship Id="rId14" Type="http://schemas.openxmlformats.org/officeDocument/2006/relationships/hyperlink" Target="https://linktr.ee/ChristiNewrutzen" TargetMode="External"/><Relationship Id="rId15" Type="http://schemas.openxmlformats.org/officeDocument/2006/relationships/hyperlink" Target="https://honey.nine.com.au/living/how-long-does-it-actually-take-tiktok-series-christi-newrutzen/12af76c3-7d77-4e1d-a2d1-6a4b607f45a8" TargetMode="External"/><Relationship Id="rId16" Type="http://schemas.openxmlformats.org/officeDocument/2006/relationships/hyperlink" Target="https://blog.doordash.com/es-us/post/doordash-summer-travel-packing-list" TargetMode="External"/><Relationship Id="rId17" Type="http://schemas.openxmlformats.org/officeDocument/2006/relationships/hyperlink" Target="https://clutterbug.me/2025/10/this-speed-cleaning-trick-will-blow-your-mind.html" TargetMode="External"/><Relationship Id="rId18" Type="http://schemas.openxmlformats.org/officeDocument/2006/relationships/hyperlink" Target="https://www.penguin.co.uk/books/464754/the-5-minute-clean-routine-by-louisa-anna/9781804956083" TargetMode="External"/><Relationship Id="rId19" Type="http://schemas.openxmlformats.org/officeDocument/2006/relationships/hyperlink" Target="https://www.womenshealthmag.com/life/a65124281/5-minute-clean-routine-anxiety-mood/" TargetMode="External"/><Relationship Id="rId20" Type="http://schemas.openxmlformats.org/officeDocument/2006/relationships/hyperlink" Target="https://cleanmama.com/the-10-minute-calm-your-house-reset/" TargetMode="External"/><Relationship Id="rId21" Type="http://schemas.openxmlformats.org/officeDocument/2006/relationships/hyperlink" Target="https://cleanmama.com/the-10-minute-tidy-a-game-changer-for-busy-days/" TargetMode="External"/><Relationship Id="rId22" Type="http://schemas.openxmlformats.org/officeDocument/2006/relationships/hyperlink" Target="https://cleanmama.com/how-to-reset-your-bedroom-in-10-minutes-free-checklist/" TargetMode="External"/><Relationship Id="rId23" Type="http://schemas.openxmlformats.org/officeDocument/2006/relationships/hyperlink" Target="https://www.hachette.com.au/gemma-bray/the-organised-mum-method-transform-your-home-in-30-minutes-a-day" TargetMode="External"/><Relationship Id="rId24" Type="http://schemas.openxmlformats.org/officeDocument/2006/relationships/hyperlink" Target="https://todyapp.com/tips.html" TargetMode="External"/><Relationship Id="rId25" Type="http://schemas.openxmlformats.org/officeDocument/2006/relationships/hyperlink" Target="https://sweepy.com/" TargetMode="External"/><Relationship Id="rId26" Type="http://schemas.openxmlformats.org/officeDocument/2006/relationships/hyperlink" Target="https://www.homeroutines.com/" TargetMode="External"/><Relationship Id="rId27" Type="http://schemas.openxmlformats.org/officeDocument/2006/relationships/hyperlink" Target="https://www.homeroutines.com/help/about_zones/" TargetMode="External"/><Relationship Id="rId28" Type="http://schemas.openxmlformats.org/officeDocument/2006/relationships/hyperlink" Target="https://www.homeroutines.com/help/zones/" TargetMode="External"/><Relationship Id="rId29" Type="http://schemas.openxmlformats.org/officeDocument/2006/relationships/hyperlink" Target="https://www.homeroutines.com/help/timer-and-one-thing/" TargetMode="External"/><Relationship Id="rId30" Type="http://schemas.openxmlformats.org/officeDocument/2006/relationships/hyperlink" Target="https://www.homezada.com/homeowners/home-maintenance" TargetMode="External"/><Relationship Id="rId31" Type="http://schemas.openxmlformats.org/officeDocument/2006/relationships/hyperlink" Target="https://www.homezada.com/press/homezada-automates-home-maintenance-schedule" TargetMode="External"/><Relationship Id="rId32" Type="http://schemas.openxmlformats.org/officeDocument/2006/relationships/hyperlink" Target="https://www.homezada.com/progressive3" TargetMode="External"/><Relationship Id="rId33" Type="http://schemas.openxmlformats.org/officeDocument/2006/relationships/hyperlink" Target="https://public-assets.toggl.com/b/static/229a1d0dad594e50142e0d9e9981359a/ebook-toggl-for-software-teams.pdf" TargetMode="External"/><Relationship Id="rId34" Type="http://schemas.openxmlformats.org/officeDocument/2006/relationships/hyperlink" Target="https://public-assets.toggl.com/b/static/7a50aaf468014d3a8cd140b330fe2c27/ebook-toggl-for-creative-teams.pdf" TargetMode="External"/><Relationship Id="rId35" Type="http://schemas.openxmlformats.org/officeDocument/2006/relationships/hyperlink" Target="https://www.lean.org/wp-content/uploads/2021/01/Standardized-Work-Combination-Table.pdf" TargetMode="External"/><Relationship Id="rId36" Type="http://schemas.openxmlformats.org/officeDocument/2006/relationships/hyperlink" Target="https://access.issa.com/wp-content/uploads/ISSA-Cleaning-Workload-Fact-Sheet.pdf" TargetMode="External"/><Relationship Id="rId37" Type="http://schemas.openxmlformats.org/officeDocument/2006/relationships/hyperlink" Target="https://www.issa.com/articles/how-to-calculate-cleaning-times/" TargetMode="External"/><Relationship Id="rId38" Type="http://schemas.openxmlformats.org/officeDocument/2006/relationships/hyperlink" Target="https://www.bls.gov/tus/atususersguide.pdf" TargetMode="External"/><Relationship Id="rId39" Type="http://schemas.openxmlformats.org/officeDocument/2006/relationships/hyperlink" Target="https://www.bls.gov/tus/data/datafiles-2025.htm" TargetMode="External"/><Relationship Id="rId40" Type="http://schemas.openxmlformats.org/officeDocument/2006/relationships/hyperlink" Target="https://learn.microsoft.com/en-us/dynamics365/field-service/scheduling-requirement-types" TargetMode="External"/><Relationship Id="rId41" Type="http://schemas.openxmlformats.org/officeDocument/2006/relationships/hyperlink" Target="https://learn.microsoft.com/en-us/dynamics365/field-service/scheduling-resource-types" TargetMode="External"/><Relationship Id="rId42" Type="http://schemas.openxmlformats.org/officeDocument/2006/relationships/hyperlink" Target="https://learn.microsoft.com/en-us/dynamics365/field-service/soa-goals" TargetMode="External"/><Relationship Id="rId43" Type="http://schemas.openxmlformats.org/officeDocument/2006/relationships/hyperlink" Target="https://learn.microsoft.com/en-us/dynamics365/field-service/soa-overview" TargetMode="External"/><Relationship Id="rId44" Type="http://schemas.openxmlformats.org/officeDocument/2006/relationships/hyperlink" Target="https://help.salesforce.com/s/articleView?id=service.pfs_scheduling.htm&amp;language=en_US" TargetMode="External"/><Relationship Id="rId45" Type="http://schemas.openxmlformats.org/officeDocument/2006/relationships/hyperlink" Target="https://help.salesforce.com/s/articleView?id=fs_resource_preferences.htm&amp;language=en_US" TargetMode="External"/><Relationship Id="rId46" Type="http://schemas.openxmlformats.org/officeDocument/2006/relationships/hyperlink" Target="https://help.salesforce.com/s/articleView?id=sf.pfs_scheduling_policy_guidelines.htm&amp;language=en_US&amp;type=5" TargetMode="External"/><Relationship Id="rId47" Type="http://schemas.openxmlformats.org/officeDocument/2006/relationships/hyperlink" Target="https://docs.skedulo.com/user-guides/manage-scheduling-availability/optimization-of-schedule/manage-and-use-route-optimization/optimization-recipes/optimization-recipes-intro/" TargetMode="External"/><Relationship Id="rId48" Type="http://schemas.openxmlformats.org/officeDocument/2006/relationships/hyperlink" Target="https://docs.oracle.com/en/cloud/saas/field-service/faqaa/oracle-fusion-field-service-questions-and-answers.pdf" TargetMode="External"/><Relationship Id="rId49" Type="http://schemas.openxmlformats.org/officeDocument/2006/relationships/hyperlink" Target="https://help.servicetitan.com/docs/plan-your-team-s-capacity" TargetMode="External"/><Relationship Id="rId50" Type="http://schemas.openxmlformats.org/officeDocument/2006/relationships/hyperlink" Target="https://help.getjobber.com/en/articles/location-timers-in-the-jobber-app/" TargetMode="External"/><Relationship Id="rId51" Type="http://schemas.openxmlformats.org/officeDocument/2006/relationships/hyperlink" Target="https://help.getjobber.com/en/articles/timers-and-timesheets-in-the-jobber-app/" TargetMode="External"/><Relationship Id="rId52" Type="http://schemas.openxmlformats.org/officeDocument/2006/relationships/hyperlink" Target="https://developers.google.com/maps/documentation/routes" TargetMode="External"/><Relationship Id="rId53" Type="http://schemas.openxmlformats.org/officeDocument/2006/relationships/hyperlink" Target="https://developers.google.com/maps/documentation/routes/config_trade_offs" TargetMode="External"/><Relationship Id="rId54" Type="http://schemas.openxmlformats.org/officeDocument/2006/relationships/hyperlink" Target="https://developers.google.com/maps/documentation/routes/compute_route_matrix" TargetMode="External"/><Relationship Id="rId55" Type="http://schemas.openxmlformats.org/officeDocument/2006/relationships/hyperlink" Target="https://developer.apple.com/augmented-reality/roomplan/" TargetMode="External"/><Relationship Id="rId56" Type="http://schemas.openxmlformats.org/officeDocument/2006/relationships/hyperlink" Target="https://producthelp.whirlpool.com/Dishwashers/Product_Info/Dishwasher_Product_Assistance/Information_on_Dishwasher_Cycle_Time" TargetMode="External"/><Relationship Id="rId57" Type="http://schemas.openxmlformats.org/officeDocument/2006/relationships/hyperlink" Target="https://www.whirlpool.com/blog/washers-and-dryers/how-long-does-a-washing-machine-take-to-wash-clothes.html" TargetMode="External"/><Relationship Id="rId58" Type="http://schemas.openxmlformats.org/officeDocument/2006/relationships/hyperlink" Target="https://akaprod-www.foodsafety.gov/food-safety-charts/cold-food-storage-charts" TargetMode="External"/><Relationship Id="rId59" Type="http://schemas.openxmlformats.org/officeDocument/2006/relationships/hyperlink" Target="https://www.foodsafety.gov/keep-food-safe/foodkeeper-app" TargetMode="External"/><Relationship Id="rId60" Type="http://schemas.openxmlformats.org/officeDocument/2006/relationships/hyperlink" Target="https://www.epa.gov/recycle/composting-home" TargetMode="External"/><Relationship Id="rId61" Type="http://schemas.openxmlformats.org/officeDocument/2006/relationships/hyperlink" Target="https://www.usfa.fema.gov/prevention/home-fires/prepare-for-fire/smoke-alarms/" TargetMode="External"/><Relationship Id="rId62" Type="http://schemas.openxmlformats.org/officeDocument/2006/relationships/hyperlink" Target="https://www.energystar.gov/saveathome/heating-cooling/maintenance-checklist" TargetMode="External"/><Relationship Id="rId63" Type="http://schemas.openxmlformats.org/officeDocument/2006/relationships/hyperlink" Target="https://www.fema.gov/sites/default/files/documents/fema_effak-toolkit.pdf" TargetMode="External"/><Relationship Id="rId64" Type="http://schemas.openxmlformats.org/officeDocument/2006/relationships/hyperlink" Target="https://www.nhtsa.gov/recalls" TargetMode="External"/><Relationship Id="rId65" Type="http://schemas.openxmlformats.org/officeDocument/2006/relationships/hyperlink" Target="https://travel.state.gov/en/passports.html" TargetMode="External"/><Relationship Id="rId66" Type="http://schemas.openxmlformats.org/officeDocument/2006/relationships/hyperlink" Target="https://www.opm.gov/healthcare-insurance/healthcare/reference-materials/reference/open-season-manual.pdf" TargetMode="External"/><Relationship Id="rId67" Type="http://schemas.openxmlformats.org/officeDocument/2006/relationships/hyperlink" Target="https://www.dcsa.mil/Portals/128/Documents/IS/DISS/Industry_Continuous_Vetting_Guidance_260416_FINAL.pdf" TargetMode="External"/><Relationship Id="rId68" Type="http://schemas.openxmlformats.org/officeDocument/2006/relationships/hyperlink" Target="https://planmymove.militaryonesource.mil/" TargetMode="External"/><Relationship Id="rId69" Type="http://schemas.openxmlformats.org/officeDocument/2006/relationships/hyperlink" Target="https://www.cdc.gov/healthy-pets/travel/index.html" TargetMode="External"/><Relationship Id="rId70" Type="http://schemas.openxmlformats.org/officeDocument/2006/relationships/hyperlink" Target="https://downloads.cms.gov/files/mtm-firstevalrpt.pdf" TargetMode="External"/><Relationship Id="rId71" Type="http://schemas.openxmlformats.org/officeDocument/2006/relationships/hyperlink" Target="https://www.ed.gov/sites/ed/files/policy/speced/guid/idea/tb-init-eval.pdf" TargetMode="External"/><Relationship Id="rId72" Type="http://schemas.openxmlformats.org/officeDocument/2006/relationships/hyperlink" Target="https://www.cpsc.gov/s3fs-public/325_PublicPlaygroundSafetyHandbook2025_7-30-25.pdf" TargetMode="External"/><Relationship Id="rId73" Type="http://schemas.openxmlformats.org/officeDocument/2006/relationships/hyperlink" Target="https://studentaid.gov/sites/default/files/2026-27-fafsa-form.pdf" TargetMode="External"/><Relationship Id="rId74" Type="http://schemas.openxmlformats.org/officeDocument/2006/relationships/hyperlink" Target="https://support.generac.com/s/article/Where-Can-I-Find-the-Maintenance-Schedule-for-My-Generac-Home-Standby-Generator" TargetMode="External"/><Relationship Id="rId75" Type="http://schemas.openxmlformats.org/officeDocument/2006/relationships/hyperlink" Target="https://www.isa-arbor.com/Portals/0/Assets/PDF/Certification/Tree_Risk_Assessment_Form_V3.pdf" TargetMode="External"/><Relationship Id="rId76" Type="http://schemas.openxmlformats.org/officeDocument/2006/relationships/hyperlink" Target="https://nfipservices.floodsmart.gov/sites/default/files/w-21013_Oct21.pdf" TargetMode="External"/><Relationship Id="rId77" Type="http://schemas.openxmlformats.org/officeDocument/2006/relationships/hyperlink" Target="https://www.fcps.edu/system/files/forms/2026-05/2026-2027-standard-school-year-calendar.pdf" TargetMode="External"/><Relationship Id="rId78" Type="http://schemas.openxmlformats.org/officeDocument/2006/relationships/hyperlink" Target="https://www.ncei.noaa.gov/pub/data/normals/1981-2010/supplemental/documentation/agricultural-normals-methodolog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Kept Software Workload Forecasting Developer Implementation Brief</dc:title>
  <dc:subject>Task evidence, workload estimation, capacity forecasting and scheduling architecture</dc:subject>
  <dc:creator>Well Kept</dc:creator>
  <cp:keywords>Well Kept, software, task evidence, workload forecasting, HOM capacity, scheduling</cp:keywords>
  <dc:description>generated by python-docx</dc:description>
  <cp:lastModifiedBy/>
  <cp:revision>1</cp:revision>
  <dcterms:created xsi:type="dcterms:W3CDTF">2013-12-23T23:15:00Z</dcterms:created>
  <dcterms:modified xsi:type="dcterms:W3CDTF">2013-12-23T23:15:00Z</dcterms:modified>
  <cp:category/>
</cp:coreProperties>
</file>