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2C"/>
          <w:sz w:val="32"/>
          <w:szCs w:val="32"/>
        </w:rPr>
        <w:t xml:space="preserve">WELL KEPT</w:t>
      </w:r>
    </w:p>
    <w:p>
      <w:pPr>
        <w:spacing w:after="80"/>
        <w:jc w:val="center"/>
      </w:pPr>
      <w:r>
        <w:rPr>
          <w:b/>
          <w:bCs/>
          <w:sz w:val="28"/>
          <w:szCs w:val="28"/>
        </w:rPr>
        <w:t xml:space="preserve">WK-PLAY-003 Addendum C: Fit Diagnostics in the Intake Instrument</w:t>
      </w:r>
    </w:p>
    <w:p>
      <w:pPr>
        <w:spacing w:after="60"/>
        <w:jc w:val="center"/>
      </w:pPr>
      <w:r>
        <w:rPr>
          <w:i/>
          <w:iCs/>
          <w:color w:val="555555"/>
          <w:sz w:val="18"/>
          <w:szCs w:val="18"/>
        </w:rPr>
        <w:t xml:space="preserve">Version 1.2 ADOPTED by founder ruling, 2 August 2026 (A118, A120, A121) | Owner: Rachel Letters, CEO</w:t>
      </w:r>
    </w:p>
    <w:p>
      <w:pPr>
        <w:spacing w:after="60"/>
        <w:jc w:val="center"/>
      </w:pPr>
      <w:r>
        <w:rPr>
          <w:i/>
          <w:iCs/>
          <w:color w:val="555555"/>
          <w:sz w:val="18"/>
          <w:szCs w:val="18"/>
        </w:rPr>
        <w:t xml:space="preserve">Extends the intake instrument of which WK-PLAY-003 is sole author | Cited by WK-STD-027</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20"/>
              <w:jc w:val="left"/>
            </w:pPr>
            <w:r>
              <w:rPr>
                <w:i/>
                <w:iCs/>
                <w:sz w:val="22"/>
                <w:szCs w:val="22"/>
              </w:rPr>
              <w:t xml:space="preserve">WK-PLAY-003 is the sole author of the intake instrument. WK-STD-027 (Household Fit Standard) relies on three diagnostic questions and one observation form; under the single-authorship rule those instruments are defined here and cited there. Nothing in WK-STD-027 restates their wording, and any change to wording happens in this addendum alone.</w:t>
            </w:r>
          </w:p>
        </w:tc>
      </w:tr>
    </w:tbl>
    <w:p>
      <w:pPr>
        <w:spacing w:after="120"/>
        <w:jc w:val="left"/>
      </w:pPr>
      <w:r>
        <w:rPr>
          <w:sz w:val="22"/>
          <w:szCs w:val="22"/>
        </w:rPr>
        <w:t xml:space="preserve"/>
      </w:r>
    </w:p>
    <w:p>
      <w:pPr>
        <w:spacing w:after="80" w:before="220"/>
      </w:pPr>
      <w:r>
        <w:rPr>
          <w:b/>
          <w:bCs/>
          <w:color w:val="1F3B2C"/>
          <w:sz w:val="24"/>
          <w:szCs w:val="24"/>
        </w:rPr>
        <w:t xml:space="preserve">1. Three diagnostic questions added to the intake conversation</w:t>
      </w:r>
    </w:p>
    <w:p>
      <w:pPr>
        <w:spacing w:after="120"/>
        <w:jc w:val="left"/>
      </w:pPr>
      <w:r>
        <w:rPr>
          <w:sz w:val="22"/>
          <w:szCs w:val="22"/>
        </w:rPr>
        <w:t xml:space="preserve">Each question is asked in every intake conversation, phrased as written, with the household's answer documented verbatim or near-verbatim in the intake record. Schema note for the platform, queued behind the AR gate via WK-QA-015: each lands as a Section 0 record-level field pair, question asked (confirmed) and answer text, with the answer at S2 sensitivity.</w:t>
      </w:r>
    </w:p>
    <w:p>
      <w:pPr>
        <w:pStyle w:val="ListParagraph"/>
        <w:numPr>
          <w:ilvl w:val="0"/>
          <w:numId w:val="1"/>
        </w:numPr>
        <w:spacing w:after="80"/>
      </w:pPr>
      <w:r>
        <w:rPr>
          <w:b/>
          <w:bCs/>
          <w:sz w:val="22"/>
          <w:szCs w:val="22"/>
        </w:rPr>
        <w:t xml:space="preserve">Question one, prior household staff. </w:t>
      </w:r>
      <w:r>
        <w:rPr>
          <w:sz w:val="22"/>
          <w:szCs w:val="22"/>
        </w:rPr>
        <w:t xml:space="preserve">'Have you worked with household staff or services before, a housekeeper, a nanny, an assistant, an agency? How did those arrangements end?' Asked neutrally, without leading. Follow-up establishes the specific reason each arrangement ended. Feeds WK-STD-027 Category 1.</w:t>
      </w:r>
    </w:p>
    <w:p>
      <w:pPr>
        <w:pStyle w:val="ListParagraph"/>
        <w:numPr>
          <w:ilvl w:val="0"/>
          <w:numId w:val="1"/>
        </w:numPr>
        <w:spacing w:after="80"/>
      </w:pPr>
      <w:r>
        <w:rPr>
          <w:b/>
          <w:bCs/>
          <w:sz w:val="22"/>
          <w:szCs w:val="22"/>
        </w:rPr>
        <w:t xml:space="preserve">Question two, the reason. </w:t>
      </w:r>
      <w:r>
        <w:rPr>
          <w:sz w:val="22"/>
          <w:szCs w:val="22"/>
        </w:rPr>
        <w:t xml:space="preserve">'What has you looking for a House Manager now? What would a great first year look like?' Feeds WK-STD-027 Category 5.</w:t>
      </w:r>
    </w:p>
    <w:p>
      <w:pPr>
        <w:pStyle w:val="ListParagraph"/>
        <w:numPr>
          <w:ilvl w:val="0"/>
          <w:numId w:val="1"/>
        </w:numPr>
        <w:spacing w:after="80"/>
      </w:pPr>
      <w:r>
        <w:rPr>
          <w:b/>
          <w:bCs/>
          <w:sz w:val="22"/>
          <w:szCs w:val="22"/>
        </w:rPr>
        <w:t xml:space="preserve">Question three, the rhythm. </w:t>
      </w:r>
      <w:r>
        <w:rPr>
          <w:sz w:val="22"/>
          <w:szCs w:val="22"/>
        </w:rPr>
        <w:t xml:space="preserve">'Our House Managers work a set weekly schedule that we protect deliberately, and anything you need between visits reaches the company rather than her personally. How does that sit with how your household runs?' The response architecture (WK-STD-028) is then explained. Feeds WK-STD-027 Category 3.</w:t>
      </w:r>
    </w:p>
    <w:p>
      <w:pPr>
        <w:spacing w:after="80" w:before="220"/>
      </w:pPr>
      <w:r>
        <w:rPr>
          <w:b/>
          <w:bCs/>
          <w:color w:val="1F3B2C"/>
          <w:sz w:val="24"/>
          <w:szCs w:val="24"/>
        </w:rPr>
        <w:t xml:space="preserve">2. The Foundation Reset observation form</w:t>
      </w:r>
    </w:p>
    <w:p>
      <w:pPr>
        <w:spacing w:after="120"/>
        <w:jc w:val="left"/>
      </w:pPr>
      <w:r>
        <w:rPr>
          <w:sz w:val="22"/>
          <w:szCs w:val="22"/>
        </w:rPr>
        <w:t xml:space="preserve">Completed by the House Manager who conducted the Foundation Reset, immediately after the visit, in approximately five minutes. Through the pilot the form is paper, per the paper-official ruling of 2 August 2026; the platform form is queued behind the AR gate via WK-QA-015. The completed form is reviewed by the Ops Lead within one business day, and any flagged concern escalates per WK-STD-027 Section 3, Category 2, with the House Manager's willingness to continue treated as controlling.</w:t>
      </w:r>
    </w:p>
    <w:p>
      <w:pPr>
        <w:spacing w:after="120"/>
        <w:jc w:val="left"/>
      </w:pPr>
      <w:r>
        <w:rPr>
          <w:sz w:val="22"/>
          <w:szCs w:val="22"/>
        </w:rPr>
        <w:t xml:space="preserve">Four questions, each rated: comfortable, mixed, or concerned, with a free-text line for anything specific.</w:t>
      </w:r>
    </w:p>
    <w:p>
      <w:pPr>
        <w:pStyle w:val="ListParagraph"/>
        <w:numPr>
          <w:ilvl w:val="0"/>
          <w:numId w:val="1"/>
        </w:numPr>
        <w:spacing w:after="80"/>
      </w:pPr>
      <w:r>
        <w:rPr>
          <w:sz w:val="22"/>
          <w:szCs w:val="22"/>
        </w:rPr>
        <w:t xml:space="preserve">Was I addressed by name and treated as a professional throughout the visit?</w:t>
      </w:r>
    </w:p>
    <w:p>
      <w:pPr>
        <w:pStyle w:val="ListParagraph"/>
        <w:numPr>
          <w:ilvl w:val="0"/>
          <w:numId w:val="1"/>
        </w:numPr>
        <w:spacing w:after="80"/>
      </w:pPr>
      <w:r>
        <w:rPr>
          <w:sz w:val="22"/>
          <w:szCs w:val="22"/>
        </w:rPr>
        <w:t xml:space="preserve">When others were present, was my presence acknowledged?</w:t>
      </w:r>
    </w:p>
    <w:p>
      <w:pPr>
        <w:pStyle w:val="ListParagraph"/>
        <w:numPr>
          <w:ilvl w:val="0"/>
          <w:numId w:val="1"/>
        </w:numPr>
        <w:spacing w:after="80"/>
      </w:pPr>
      <w:r>
        <w:rPr>
          <w:sz w:val="22"/>
          <w:szCs w:val="22"/>
        </w:rPr>
        <w:t xml:space="preserve">Was the tour conducted as a working introduction to the home rather than a display?</w:t>
      </w:r>
    </w:p>
    <w:p>
      <w:pPr>
        <w:pStyle w:val="ListParagraph"/>
        <w:numPr>
          <w:ilvl w:val="0"/>
          <w:numId w:val="1"/>
        </w:numPr>
        <w:spacing w:after="80"/>
      </w:pPr>
      <w:r>
        <w:rPr>
          <w:sz w:val="22"/>
          <w:szCs w:val="22"/>
        </w:rPr>
        <w:t xml:space="preserve">Based on today, am I comfortable serving this household on an ongoing basis?</w:t>
      </w:r>
    </w:p>
    <w:p>
      <w:pPr>
        <w:spacing w:after="80" w:before="220"/>
      </w:pPr>
      <w:r>
        <w:rPr>
          <w:b/>
          <w:bCs/>
          <w:color w:val="1F3B2C"/>
          <w:sz w:val="24"/>
          <w:szCs w:val="24"/>
        </w:rPr>
        <w:t xml:space="preserve">3. One mapping question: household authority</w:t>
      </w:r>
    </w:p>
    <w:p>
      <w:pPr>
        <w:spacing w:after="120"/>
        <w:jc w:val="left"/>
      </w:pPr>
      <w:r>
        <w:rPr>
          <w:sz w:val="22"/>
          <w:szCs w:val="22"/>
        </w:rPr>
        <w:t xml:space="preserve">Asked in every intake and revisited when composition changes, distinct from the three fit diagnostics above because it maps rather than screens: 'Who sets the standard in each part of the house? If your mother keeps the kitchen, or one of you owns the garden, we want to serve the right authority in the right room.' In multigenerational households the standard-setter for a zone may not be the member who signs; serving the signer's preferences while violating the matriarch's kitchen is a failure this one question prevents. Answers land as zone-level authority notes in the Playbook.</w:t>
      </w:r>
    </w:p>
    <w:p>
      <w:pPr>
        <w:spacing w:after="80" w:before="220"/>
      </w:pPr>
      <w:r>
        <w:rPr>
          <w:b/>
          <w:bCs/>
          <w:color w:val="1F3B2C"/>
          <w:sz w:val="24"/>
          <w:szCs w:val="24"/>
        </w:rPr>
        <w:t xml:space="preserve">4. The decision-style block</w:t>
      </w:r>
    </w:p>
    <w:p>
      <w:pPr>
        <w:spacing w:after="120"/>
        <w:jc w:val="left"/>
      </w:pPr>
      <w:r>
        <w:rPr>
          <w:sz w:val="22"/>
          <w:szCs w:val="22"/>
        </w:rPr>
        <w:t xml:space="preserve">Four questions and a list, capturing how this household wants its decisions handled, feeding the Decision Rights block of the Playbook and the routing table of the eventual pipeline. Asked of BOTH partners per the household-address doctrine, which is that doctrine's operational teeth.</w:t>
      </w:r>
    </w:p>
    <w:p>
      <w:pPr>
        <w:pStyle w:val="ListParagraph"/>
        <w:numPr>
          <w:ilvl w:val="0"/>
          <w:numId w:val="1"/>
        </w:numPr>
        <w:spacing w:after="80"/>
      </w:pPr>
      <w:r>
        <w:rPr>
          <w:b/>
          <w:bCs/>
          <w:sz w:val="22"/>
          <w:szCs w:val="22"/>
        </w:rPr>
        <w:t xml:space="preserve">The threshold. </w:t>
      </w:r>
      <w:r>
        <w:rPr>
          <w:sz w:val="22"/>
          <w:szCs w:val="22"/>
        </w:rPr>
        <w:t xml:space="preserve">'Below what amount should we simply handle things and tell you after: a restock, a replacement, a repair?' Calibrated against the budget register; recorded per category where the household differentiates.</w:t>
      </w:r>
    </w:p>
    <w:p>
      <w:pPr>
        <w:pStyle w:val="ListParagraph"/>
        <w:numPr>
          <w:ilvl w:val="0"/>
          <w:numId w:val="1"/>
        </w:numPr>
        <w:spacing w:after="80"/>
      </w:pPr>
      <w:r>
        <w:rPr>
          <w:b/>
          <w:bCs/>
          <w:sz w:val="22"/>
          <w:szCs w:val="22"/>
        </w:rPr>
        <w:t xml:space="preserve">The mode. </w:t>
      </w:r>
      <w:r>
        <w:rPr>
          <w:sz w:val="22"/>
          <w:szCs w:val="22"/>
        </w:rPr>
        <w:t xml:space="preserve">'When we bring you a choice, do you want two options, or our one recommendation with the reasoning?'</w:t>
      </w:r>
    </w:p>
    <w:p>
      <w:pPr>
        <w:pStyle w:val="ListParagraph"/>
        <w:numPr>
          <w:ilvl w:val="0"/>
          <w:numId w:val="1"/>
        </w:numPr>
        <w:spacing w:after="80"/>
      </w:pPr>
      <w:r>
        <w:rPr>
          <w:b/>
          <w:bCs/>
          <w:sz w:val="22"/>
          <w:szCs w:val="22"/>
        </w:rPr>
        <w:t xml:space="preserve">The cadence. </w:t>
      </w:r>
      <w:r>
        <w:rPr>
          <w:sz w:val="22"/>
          <w:szCs w:val="22"/>
        </w:rPr>
        <w:t xml:space="preserve">'Do you want decisions batched into one weekly moment, or brought as they arise?'</w:t>
      </w:r>
    </w:p>
    <w:p>
      <w:pPr>
        <w:pStyle w:val="ListParagraph"/>
        <w:numPr>
          <w:ilvl w:val="0"/>
          <w:numId w:val="1"/>
        </w:numPr>
        <w:spacing w:after="80"/>
      </w:pPr>
      <w:r>
        <w:rPr>
          <w:b/>
          <w:bCs/>
          <w:sz w:val="22"/>
          <w:szCs w:val="22"/>
        </w:rPr>
        <w:t xml:space="preserve">The routing. </w:t>
      </w:r>
      <w:r>
        <w:rPr>
          <w:sz w:val="22"/>
          <w:szCs w:val="22"/>
        </w:rPr>
        <w:t xml:space="preserve">'Which of you holds which domains, and where do you each want the other looped in?' Joined to the authority-mapping answers of Section 3.</w:t>
      </w:r>
    </w:p>
    <w:p>
      <w:pPr>
        <w:pStyle w:val="ListParagraph"/>
        <w:numPr>
          <w:ilvl w:val="0"/>
          <w:numId w:val="1"/>
        </w:numPr>
        <w:spacing w:after="80"/>
      </w:pPr>
      <w:r>
        <w:rPr>
          <w:b/>
          <w:bCs/>
          <w:sz w:val="22"/>
          <w:szCs w:val="22"/>
        </w:rPr>
        <w:t xml:space="preserve">The never-decide list. </w:t>
      </w:r>
      <w:r>
        <w:rPr>
          <w:sz w:val="22"/>
          <w:szCs w:val="22"/>
        </w:rPr>
        <w:t xml:space="preserve">Offered openly: 'Is there anything we should never decide without you, no matter how small?' Recorded verbatim.</w:t>
      </w:r>
    </w:p>
    <w:p>
      <w:pPr>
        <w:spacing w:after="80" w:before="220"/>
      </w:pPr>
      <w:r>
        <w:rPr>
          <w:b/>
          <w:bCs/>
          <w:color w:val="1F3B2C"/>
          <w:sz w:val="24"/>
          <w:szCs w:val="24"/>
        </w:rPr>
        <w:t xml:space="preserve">5. The monitoring-style block</w:t>
      </w:r>
    </w:p>
    <w:p>
      <w:pPr>
        <w:spacing w:after="120"/>
        <w:jc w:val="left"/>
      </w:pPr>
      <w:r>
        <w:rPr>
          <w:sz w:val="22"/>
          <w:szCs w:val="22"/>
        </w:rPr>
        <w:t xml:space="preserve">One question with three honest answers: 'How do you want to know things happened: every step visible in the app as it moves, the weekly three-sentence report, or quiet confidence and the quarterly review?' Report appetite is recorded and honored, preventing both the under-informed member and the over-notified one; revealed behavior may later suggest recalibration, offered gently and never imposed.</w:t>
      </w:r>
    </w:p>
    <w:p>
      <w:pPr>
        <w:spacing w:after="80" w:before="220"/>
      </w:pPr>
      <w:r>
        <w:rPr>
          <w:b/>
          <w:bCs/>
          <w:color w:val="1F3B2C"/>
          <w:sz w:val="24"/>
          <w:szCs w:val="24"/>
        </w:rPr>
        <w:t xml:space="preserve">6. Change control</w:t>
      </w:r>
    </w:p>
    <w:p>
      <w:pPr>
        <w:spacing w:after="120"/>
        <w:jc w:val="left"/>
      </w:pPr>
      <w:r>
        <w:rPr>
          <w:sz w:val="22"/>
          <w:szCs w:val="22"/>
        </w:rPr>
        <w:t xml:space="preserve">Wording changes to the three questions or the four observation items are made in this addendum by CEO sign-off and recorded in WK-QA-018. WK-STD-027 cites this addendum and never restates it; if the two are ever found to disagree, this addendum governs and the disagreement is reported, not silently reconciled.</w:t>
      </w:r>
    </w:p>
    <w:p>
      <w:pPr>
        <w:pBdr>
          <w:bottom w:val="single" w:color="1F3B2C" w:sz="6" w:space="1"/>
        </w:pBdr>
        <w:spacing w:after="120" w:before="120"/>
      </w:pPr>
      <w:r>
        <w:rPr>
          <w:sz w:val="22"/>
          <w:szCs w:val="22"/>
        </w:rPr>
        <w:t xml:space="preserve"/>
      </w:r>
    </w:p>
    <w:p>
      <w:pPr>
        <w:spacing w:after="120"/>
        <w:jc w:val="center"/>
      </w:pPr>
      <w:r>
        <w:rPr>
          <w:i/>
          <w:iCs/>
          <w:sz w:val="22"/>
          <w:szCs w:val="22"/>
        </w:rPr>
        <w:t xml:space="preserve">Three questions and four observations, asked the same way every time, so that the fit decision rests on evidence rather than impression.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2026-08-05T22:07:37.331Z</dcterms:created>
  <dcterms:modified xsi:type="dcterms:W3CDTF">2026-08-05T22:07:37.331Z</dcterms:modified>
</cp:coreProperties>
</file>

<file path=docProps/custom.xml><?xml version="1.0" encoding="utf-8"?>
<Properties xmlns="http://schemas.openxmlformats.org/officeDocument/2006/custom-properties" xmlns:vt="http://schemas.openxmlformats.org/officeDocument/2006/docPropsVTypes"/>
</file>