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i w:val="0"/>
          <w:color w:val="1F3B2C"/>
          <w:sz w:val="30"/>
        </w:rPr>
        <w:t>WK-SEC-001 | Application Security Audit, Scope and Statement of Work</w:t>
      </w:r>
    </w:p>
    <w:p>
      <w:r>
        <w:rPr>
          <w:rFonts w:ascii="Georgia" w:hAnsi="Georgia"/>
          <w:b w:val="0"/>
          <w:i/>
          <w:color w:val="555555"/>
          <w:sz w:val="17"/>
        </w:rPr>
        <w:t>Well Kept Home Operations Management LLC. Issued 5 August 2026 per register ruling A231. White-box application security audit gating Phase 0: no member data enters the system before clearance.</w:t>
      </w:r>
    </w:p>
    <w:p>
      <w:r>
        <w:rPr>
          <w:rFonts w:ascii="Georgia" w:hAnsi="Georgia"/>
          <w:b/>
          <w:i w:val="0"/>
          <w:color w:val="1F3B2C"/>
          <w:sz w:val="23"/>
        </w:rPr>
        <w:t>Engagement frame</w:t>
      </w:r>
    </w:p>
    <w:p>
      <w:r>
        <w:rPr>
          <w:rFonts w:ascii="Georgia" w:hAnsi="Georgia"/>
          <w:b w:val="0"/>
          <w:i w:val="0"/>
          <w:sz w:val="20"/>
        </w:rPr>
        <w:t>White-box application security audit of a multi-tenant household-operations platform: a Next.js and TypeScript monorepo, Drizzle-managed multi-tenant Postgres, S3 object storage via presigned URLs, three member web portals, a native Household Operations Manager mobile app with an undocumented PWA layer, and corporate screens. Source access at a paused commit; staging with synthetic data only. The finding that gates everything: is this system safe to hold real household data?</w:t>
      </w:r>
    </w:p>
    <w:p>
      <w:r>
        <w:rPr>
          <w:rFonts w:ascii="Georgia" w:hAnsi="Georgia"/>
          <w:b/>
          <w:i w:val="0"/>
          <w:color w:val="1F3B2C"/>
          <w:sz w:val="23"/>
        </w:rPr>
        <w:t>Threat model, one sentence</w:t>
      </w:r>
    </w:p>
    <w:p>
      <w:r>
        <w:rPr>
          <w:rFonts w:ascii="Georgia" w:hAnsi="Georgia"/>
          <w:b w:val="0"/>
          <w:i w:val="0"/>
          <w:sz w:val="20"/>
        </w:rPr>
        <w:t>The attacker who matters most is anyone trying to learn about a household, including a curious insider.</w:t>
      </w:r>
    </w:p>
    <w:p>
      <w:r>
        <w:rPr>
          <w:rFonts w:ascii="Georgia" w:hAnsi="Georgia"/>
          <w:b/>
          <w:i w:val="0"/>
          <w:color w:val="1F3B2C"/>
          <w:sz w:val="23"/>
        </w:rPr>
        <w:t>Test area 1, tenant isolation (existential)</w:t>
      </w:r>
    </w:p>
    <w:p>
      <w:r>
        <w:rPr>
          <w:rFonts w:ascii="Georgia" w:hAnsi="Georgia"/>
          <w:b w:val="0"/>
          <w:i w:val="0"/>
          <w:sz w:val="20"/>
        </w:rPr>
        <w:t>Attack the walls between household tenants through every API route, query path and join. Verify isolation is enforced systematically at the query layer, not per-endpoint by habit. Attempt cross-tenant reads as household A reaching household B. A single cross-household leak is not a bug in this business; it is the end of the trust the company sells.</w:t>
      </w:r>
    </w:p>
    <w:p>
      <w:r>
        <w:rPr>
          <w:rFonts w:ascii="Georgia" w:hAnsi="Georgia"/>
          <w:b/>
          <w:i w:val="0"/>
          <w:color w:val="1F3B2C"/>
          <w:sz w:val="23"/>
        </w:rPr>
        <w:t>Test area 2, the presigned-URL photo layer</w:t>
      </w:r>
    </w:p>
    <w:p>
      <w:r>
        <w:rPr>
          <w:rFonts w:ascii="Georgia" w:hAnsi="Georgia"/>
          <w:b w:val="0"/>
          <w:i w:val="0"/>
          <w:sz w:val="20"/>
        </w:rPr>
        <w:t>Link scope (one photo's URL fetching another), expiry enforcement, upload-path abuse into another tenant's path, and ephemeral-capture mode VERIFIED TO DESTROY at the storage layer, not just the database row.</w:t>
      </w:r>
    </w:p>
    <w:p>
      <w:r>
        <w:rPr>
          <w:rFonts w:ascii="Georgia" w:hAnsi="Georgia"/>
          <w:b/>
          <w:i w:val="0"/>
          <w:color w:val="1F3B2C"/>
          <w:sz w:val="23"/>
        </w:rPr>
        <w:t>Test area 3, authentication and authorization across four surfaces</w:t>
      </w:r>
    </w:p>
    <w:p>
      <w:r>
        <w:rPr>
          <w:rFonts w:ascii="Georgia" w:hAnsi="Georgia"/>
          <w:b w:val="0"/>
          <w:i w:val="0"/>
          <w:sz w:val="20"/>
        </w:rPr>
        <w:t>Member portals, HOM mobile app, corporate. Test role boundaries hard: HOM token reaching corporate functions; member session reaching another member of the same household beyond record-sharing consent; the restricted-access class (do-not-admit, child-pickup, welfare notes) enforced server-side with visit-sheet-only visibility and access logging, not as UI courtesy an API call walks around.</w:t>
      </w:r>
    </w:p>
    <w:p>
      <w:r>
        <w:rPr>
          <w:rFonts w:ascii="Georgia" w:hAnsi="Georgia"/>
          <w:b/>
          <w:i w:val="0"/>
          <w:color w:val="1F3B2C"/>
          <w:sz w:val="23"/>
        </w:rPr>
        <w:t>Test area 4, consent as enforcement</w:t>
      </w:r>
    </w:p>
    <w:p>
      <w:r>
        <w:rPr>
          <w:rFonts w:ascii="Georgia" w:hAnsi="Georgia"/>
          <w:b w:val="0"/>
          <w:i w:val="0"/>
          <w:sz w:val="20"/>
        </w:rPr>
        <w:t>Consents are switches arming capabilities; verify server-side checks. Photo-processing consent off means the processing path refuses. Clearance mode means retention is actually shortened. Portable export is scoped to the requesting household only.</w:t>
      </w:r>
    </w:p>
    <w:p>
      <w:r>
        <w:rPr>
          <w:rFonts w:ascii="Georgia" w:hAnsi="Georgia"/>
          <w:b/>
          <w:i w:val="0"/>
          <w:color w:val="1F3B2C"/>
          <w:sz w:val="23"/>
        </w:rPr>
        <w:t>Test area 5, known technical debt, fixed or risk-rated</w:t>
      </w:r>
    </w:p>
    <w:p>
      <w:r>
        <w:rPr>
          <w:rFonts w:ascii="Georgia" w:hAnsi="Georgia"/>
          <w:b w:val="0"/>
          <w:i w:val="0"/>
          <w:sz w:val="20"/>
        </w:rPr>
        <w:t>The visit_photo schema inconsistency. The Fernbrook field-mapping bug, treated as a potential isolation failure until proven cosmetic. The undocumented PWA layer's on-device caching on shared devices. Dependency version drift: full CVE audit and lockfile discipline going forward.</w:t>
      </w:r>
    </w:p>
    <w:p>
      <w:r>
        <w:rPr>
          <w:rFonts w:ascii="Georgia" w:hAnsi="Georgia"/>
          <w:b/>
          <w:i w:val="0"/>
          <w:color w:val="1F3B2C"/>
          <w:sz w:val="23"/>
        </w:rPr>
        <w:t>Test area 6, the mobile device story</w:t>
      </w:r>
    </w:p>
    <w:p>
      <w:r>
        <w:rPr>
          <w:rFonts w:ascii="Georgia" w:hAnsi="Georgia"/>
          <w:b w:val="0"/>
          <w:i w:val="0"/>
          <w:sz w:val="20"/>
        </w:rPr>
        <w:t>At-rest encryption on HOM devices; session lifetime and remote revocation as a working kill switch for HOM offboarding; MDM-compatibility for cleared-household variants.</w:t>
      </w:r>
    </w:p>
    <w:p>
      <w:r>
        <w:rPr>
          <w:rFonts w:ascii="Georgia" w:hAnsi="Georgia"/>
          <w:b/>
          <w:i w:val="0"/>
          <w:color w:val="1F3B2C"/>
          <w:sz w:val="23"/>
        </w:rPr>
        <w:t>Test area 7, OWASP classics plus the AI seam</w:t>
      </w:r>
    </w:p>
    <w:p>
      <w:r>
        <w:rPr>
          <w:rFonts w:ascii="Georgia" w:hAnsi="Georgia"/>
          <w:b w:val="0"/>
          <w:i w:val="0"/>
          <w:sz w:val="20"/>
        </w:rPr>
        <w:t>Standard OWASP coverage across the API, plus prompt-injection and data-exfiltration through the photo-processing pipeline: a photographed document containing adversarial text must not steer processing or leak another record. Confirm AI-vendor retention aligns with the ephemeral promise.</w:t>
      </w:r>
    </w:p>
    <w:p>
      <w:r>
        <w:rPr>
          <w:rFonts w:ascii="Georgia" w:hAnsi="Georgia"/>
          <w:b/>
          <w:i w:val="0"/>
          <w:color w:val="1F3B2C"/>
          <w:sz w:val="23"/>
        </w:rPr>
        <w:t>Test area 8, infrastructure and secrets</w:t>
      </w:r>
    </w:p>
    <w:p>
      <w:r>
        <w:rPr>
          <w:rFonts w:ascii="Georgia" w:hAnsi="Georgia"/>
          <w:b w:val="0"/>
          <w:i w:val="0"/>
          <w:sz w:val="20"/>
        </w:rPr>
        <w:t>Bucket policies, database network exposure, secrets handling in repo and deploy pipeline, backup encryption, and tamper-evident audit logs (the restricted class depends on them).</w:t>
      </w:r>
    </w:p>
    <w:p>
      <w:r>
        <w:rPr>
          <w:rFonts w:ascii="Georgia" w:hAnsi="Georgia"/>
          <w:b/>
          <w:i w:val="0"/>
          <w:color w:val="1F3B2C"/>
          <w:sz w:val="23"/>
        </w:rPr>
        <w:t>Provided to the engineer</w:t>
      </w:r>
    </w:p>
    <w:p>
      <w:r>
        <w:rPr>
          <w:rFonts w:ascii="Georgia" w:hAnsi="Georgia"/>
          <w:b w:val="0"/>
          <w:i w:val="0"/>
          <w:sz w:val="20"/>
        </w:rPr>
        <w:t>Full source at the paused commit; staging environment seeded with synthetic households only (fictional Beaumont-Ashford data; no real household data exists in the system); database schema; the WK-APP specification series; WK-SOP-019 Technology, Photo and Data Security so claims are tested against the company's own commitments; this scope.</w:t>
      </w:r>
    </w:p>
    <w:p>
      <w:r>
        <w:rPr>
          <w:rFonts w:ascii="Georgia" w:hAnsi="Georgia"/>
          <w:b/>
          <w:i w:val="0"/>
          <w:color w:val="1F3B2C"/>
          <w:sz w:val="23"/>
        </w:rPr>
        <w:t>Deliverables</w:t>
      </w:r>
    </w:p>
    <w:p>
      <w:r>
        <w:rPr>
          <w:rFonts w:ascii="Georgia" w:hAnsi="Georgia"/>
          <w:b w:val="0"/>
          <w:i w:val="0"/>
          <w:sz w:val="20"/>
        </w:rPr>
        <w:t>Severity-ranked findings with reproduction steps. Retest of fixes included in this engagement. A written data-flow map of household data as observed. Explicit pass or fail against the gating question. A letter of engagement completion suitable for a lender file and a cyber-insurance application.</w:t>
      </w:r>
    </w:p>
    <w:p>
      <w:r>
        <w:rPr>
          <w:rFonts w:ascii="Georgia" w:hAnsi="Georgia"/>
          <w:b/>
          <w:i w:val="0"/>
          <w:color w:val="1F3B2C"/>
          <w:sz w:val="23"/>
        </w:rPr>
        <w:t>Pass criteria, defined in advance</w:t>
      </w:r>
    </w:p>
    <w:p>
      <w:r>
        <w:rPr>
          <w:rFonts w:ascii="Georgia" w:hAnsi="Georgia"/>
          <w:b w:val="0"/>
          <w:i w:val="0"/>
          <w:sz w:val="20"/>
        </w:rPr>
        <w:t>Zero unresolved critical or high findings touching tenant isolation, authentication and authorization, the photo layer, or the restricted-access class. The four named debt items fixed or formally risk-accepted with rationale. Retest confirming closure. Then, and only then, the paper-first fence lifts.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