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2C"/>
          <w:sz w:val="32"/>
          <w:szCs w:val="32"/>
        </w:rPr>
        <w:t xml:space="preserve">WELL KEPT</w:t>
      </w:r>
    </w:p>
    <w:p>
      <w:pPr>
        <w:spacing w:after="40"/>
        <w:jc w:val="center"/>
      </w:pPr>
      <w:r>
        <w:rPr>
          <w:b/>
          <w:bCs/>
          <w:sz w:val="28"/>
          <w:szCs w:val="28"/>
        </w:rPr>
        <w:t xml:space="preserve">WK-PLAY-001 Addendum F: The Social Horizon</w:t>
      </w:r>
    </w:p>
    <w:p>
      <w:pPr>
        <w:spacing w:after="80"/>
        <w:jc w:val="center"/>
      </w:pPr>
      <w:r>
        <w:rPr>
          <w:i/>
          <w:iCs/>
          <w:sz w:val="22"/>
          <w:szCs w:val="22"/>
        </w:rPr>
        <w:t xml:space="preserve">Forecasting the obligations a household's life stage sends it, before they arrive</w:t>
      </w:r>
    </w:p>
    <w:p>
      <w:pPr>
        <w:spacing w:after="60"/>
        <w:jc w:val="center"/>
      </w:pPr>
      <w:r>
        <w:rPr>
          <w:i/>
          <w:iCs/>
          <w:color w:val="555555"/>
          <w:sz w:val="18"/>
          <w:szCs w:val="18"/>
        </w:rPr>
        <w:t xml:space="preserve">Version 1.0 RATIFIED by founder ruling, 2 August 2026 (A121) | Owner: Rachel Letters, CEO</w:t>
      </w:r>
    </w:p>
    <w:p>
      <w:pPr>
        <w:spacing w:after="60"/>
        <w:jc w:val="center"/>
      </w:pPr>
      <w:r>
        <w:rPr>
          <w:i/>
          <w:iCs/>
          <w:color w:val="555555"/>
          <w:sz w:val="18"/>
          <w:szCs w:val="18"/>
        </w:rPr>
        <w:t xml:space="preserve">Extends the Playbook standard; trigger-family implications queued via WK-QA-015 behind the AR gate; paper through the pilot</w:t>
      </w:r>
    </w:p>
    <w:p>
      <w:pPr>
        <w:pBdr>
          <w:bottom w:val="single" w:color="1F3B2C" w:sz="6" w:space="1"/>
        </w:pBdr>
        <w:spacing w:after="120" w:before="120"/>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1E8" w:color="auto" w:val="clear"/>
            <w:tcMar>
              <w:top w:type="dxa" w:w="180"/>
              <w:left w:type="dxa" w:w="220"/>
              <w:bottom w:type="dxa" w:w="180"/>
              <w:right w:type="dxa" w:w="220"/>
            </w:tcMar>
          </w:tcPr>
          <w:p>
            <w:pPr>
              <w:spacing w:after="120"/>
              <w:jc w:val="left"/>
            </w:pPr>
            <w:r>
              <w:rPr>
                <w:i/>
                <w:iCs/>
                <w:sz w:val="22"/>
                <w:szCs w:val="22"/>
              </w:rPr>
              <w:t xml:space="preserve">The horizon list forecasts the household's OWN predictable events: the water heater, the sixteenth birthday, the passport expiry. This addendum adds the other half: the obligations the household's life stage and social network will SEND it. A family whose friends are 25 to 35 will receive save-the-dates; a family with a high-school junior will receive graduation invitations for June weekends; a family with a four-year-old will live on the birthday-party circuit whether or not anyone plans to. These arrivals are forecastable to the season, and a service that expects them serves a calmer year than one that reacts to them.</w:t>
            </w:r>
          </w:p>
        </w:tc>
      </w:tr>
    </w:tbl>
    <w:p>
      <w:pPr>
        <w:spacing w:after="120"/>
        <w:jc w:val="left"/>
      </w:pPr>
      <w:r>
        <w:rPr>
          <w:sz w:val="22"/>
          <w:szCs w:val="22"/>
        </w:rPr>
        <w:t xml:space="preserve"/>
      </w:r>
    </w:p>
    <w:p>
      <w:pPr>
        <w:spacing w:after="80" w:before="220"/>
      </w:pPr>
      <w:r>
        <w:rPr>
          <w:b/>
          <w:bCs/>
          <w:color w:val="1F3B2C"/>
          <w:sz w:val="24"/>
          <w:szCs w:val="24"/>
        </w:rPr>
        <w:t xml:space="preserve">1. What a social-horizon note is</w:t>
      </w:r>
    </w:p>
    <w:p>
      <w:pPr>
        <w:spacing w:after="120"/>
        <w:jc w:val="left"/>
      </w:pPr>
      <w:r>
        <w:rPr>
          <w:sz w:val="22"/>
          <w:szCs w:val="22"/>
        </w:rPr>
        <w:t xml:space="preserve">A dated internal expectation attached to the household record: what class of obligation is likely to arrive, in what window, at roughly what volume, and what readiness it implies. It is a forecast, never a fact. Two examples in full form: this household attends many weddings, expect save-the-dates to begin arriving January through April for a fall season, readiness means the gift and travel rhythm from the attending-season program and RSVP tracking from first arrival. And: the eldest child is a junior, expect graduation-party invitations for the first three June weekends from senior-year spring onward, readiness means calendar protection, the gift rotation, and hosting-versus-attending sorted early.</w:t>
      </w:r>
    </w:p>
    <w:p>
      <w:pPr>
        <w:spacing w:after="80" w:before="220"/>
      </w:pPr>
      <w:r>
        <w:rPr>
          <w:b/>
          <w:bCs/>
          <w:color w:val="1F3B2C"/>
          <w:sz w:val="24"/>
          <w:szCs w:val="24"/>
        </w:rPr>
        <w:t xml:space="preserve">2. The three sources, in order of authority</w:t>
      </w:r>
    </w:p>
    <w:p>
      <w:pPr>
        <w:pStyle w:val="ListParagraph"/>
        <w:numPr>
          <w:ilvl w:val="0"/>
          <w:numId w:val="1"/>
        </w:numPr>
        <w:spacing w:after="80"/>
      </w:pPr>
      <w:r>
        <w:rPr>
          <w:b/>
          <w:bCs/>
          <w:sz w:val="22"/>
          <w:szCs w:val="22"/>
        </w:rPr>
        <w:t xml:space="preserve">Observed history, strongest. </w:t>
      </w:r>
      <w:r>
        <w:rPr>
          <w:sz w:val="22"/>
          <w:szCs w:val="22"/>
        </w:rPr>
        <w:t xml:space="preserve">Repeat-season memory applied to inbound obligations: last year's five save-the-dates, eleven birthday parties, or three graduation invitations forecast this year's within one or two. The standing annual program already counts most of this; the note makes the count forward-looking.</w:t>
      </w:r>
    </w:p>
    <w:p>
      <w:pPr>
        <w:pStyle w:val="ListParagraph"/>
        <w:numPr>
          <w:ilvl w:val="0"/>
          <w:numId w:val="1"/>
        </w:numPr>
        <w:spacing w:after="80"/>
      </w:pPr>
      <w:r>
        <w:rPr>
          <w:b/>
          <w:bCs/>
          <w:sz w:val="22"/>
          <w:szCs w:val="22"/>
        </w:rPr>
        <w:t xml:space="preserve">Life-stage patterns, next. </w:t>
      </w:r>
      <w:r>
        <w:rPr>
          <w:sz w:val="22"/>
          <w:szCs w:val="22"/>
        </w:rPr>
        <w:t xml:space="preserve">Composition-based cohort patterns from the library in Section 4, keyed to recorded ages and school years. These generate the first-year notes before any history exists.</w:t>
      </w:r>
    </w:p>
    <w:p>
      <w:pPr>
        <w:pStyle w:val="ListParagraph"/>
        <w:numPr>
          <w:ilvl w:val="0"/>
          <w:numId w:val="1"/>
        </w:numPr>
        <w:spacing w:after="80"/>
      </w:pPr>
      <w:r>
        <w:rPr>
          <w:b/>
          <w:bCs/>
          <w:sz w:val="22"/>
          <w:szCs w:val="22"/>
        </w:rPr>
        <w:t xml:space="preserve">Dots, always. </w:t>
      </w:r>
      <w:r>
        <w:rPr>
          <w:sz w:val="22"/>
          <w:szCs w:val="22"/>
        </w:rPr>
        <w:t xml:space="preserve">A mentioned engagement, a cousin's pregnancy, a colleague's retirement party: each is a single-instance note with its own window.</w:t>
      </w:r>
    </w:p>
    <w:p>
      <w:pPr>
        <w:spacing w:after="80" w:before="220"/>
      </w:pPr>
      <w:r>
        <w:rPr>
          <w:b/>
          <w:bCs/>
          <w:color w:val="1F3B2C"/>
          <w:sz w:val="24"/>
          <w:szCs w:val="24"/>
        </w:rPr>
        <w:t xml:space="preserve">3. The guardrails, which are strict because forecasting people is delicate</w:t>
      </w:r>
    </w:p>
    <w:p>
      <w:pPr>
        <w:pStyle w:val="ListParagraph"/>
        <w:numPr>
          <w:ilvl w:val="0"/>
          <w:numId w:val="1"/>
        </w:numPr>
        <w:spacing w:after="80"/>
      </w:pPr>
      <w:r>
        <w:rPr>
          <w:b/>
          <w:bCs/>
          <w:sz w:val="22"/>
          <w:szCs w:val="22"/>
        </w:rPr>
        <w:t xml:space="preserve">Internal only, permanently. </w:t>
      </w:r>
      <w:r>
        <w:rPr>
          <w:sz w:val="22"/>
          <w:szCs w:val="22"/>
        </w:rPr>
        <w:t xml:space="preserve">A social-horizon note is never spoken to the household as a prediction. We expected your save-the-dates is surveillance dressed as service. The note prepares the question and the readiness; the household's own mention opens the subject.</w:t>
      </w:r>
    </w:p>
    <w:p>
      <w:pPr>
        <w:pStyle w:val="ListParagraph"/>
        <w:numPr>
          <w:ilvl w:val="0"/>
          <w:numId w:val="1"/>
        </w:numPr>
        <w:spacing w:after="80"/>
      </w:pPr>
      <w:r>
        <w:rPr>
          <w:b/>
          <w:bCs/>
          <w:sz w:val="22"/>
          <w:szCs w:val="22"/>
        </w:rPr>
        <w:t xml:space="preserve">Expectation is its own provenance state. </w:t>
      </w:r>
      <w:r>
        <w:rPr>
          <w:sz w:val="22"/>
          <w:szCs w:val="22"/>
        </w:rPr>
        <w:t xml:space="preserve">Notes are stamped expected, never asked or observed, and nothing downstream may treat one as a fact. A briefing may say expect, and may never say is.</w:t>
      </w:r>
    </w:p>
    <w:p>
      <w:pPr>
        <w:pStyle w:val="ListParagraph"/>
        <w:numPr>
          <w:ilvl w:val="0"/>
          <w:numId w:val="1"/>
        </w:numPr>
        <w:spacing w:after="80"/>
      </w:pPr>
      <w:r>
        <w:rPr>
          <w:b/>
          <w:bCs/>
          <w:sz w:val="22"/>
          <w:szCs w:val="22"/>
        </w:rPr>
        <w:t xml:space="preserve">Patterns key to recorded facts only. </w:t>
      </w:r>
      <w:r>
        <w:rPr>
          <w:sz w:val="22"/>
          <w:szCs w:val="22"/>
        </w:rPr>
        <w:t xml:space="preserve">Age bands, school years, and the household's own recorded observances and history. Never ethnicity, surname, or any protected characteristic: a bar or bat mitzvah expectation exists only where the household's record carries the observance at kept weight, per Addendum E. The wealth-shape guard applies verbatim: inference guides preparation and questions, never assumptions stated to anyone.</w:t>
      </w:r>
    </w:p>
    <w:p>
      <w:pPr>
        <w:pStyle w:val="ListParagraph"/>
        <w:numPr>
          <w:ilvl w:val="0"/>
          <w:numId w:val="1"/>
        </w:numPr>
        <w:spacing w:after="80"/>
      </w:pPr>
      <w:r>
        <w:rPr>
          <w:b/>
          <w:bCs/>
          <w:sz w:val="22"/>
          <w:szCs w:val="22"/>
        </w:rPr>
        <w:t xml:space="preserve">Notes expire. </w:t>
      </w:r>
      <w:r>
        <w:rPr>
          <w:sz w:val="22"/>
          <w:szCs w:val="22"/>
        </w:rPr>
        <w:t xml:space="preserve">Every note carries its window and is pruned when the window closes or two seasons pass unconfirmed. An accumulating pile of stale expectations is worse than none, because it teaches the briefing to be ignored.</w:t>
      </w:r>
    </w:p>
    <w:p>
      <w:pPr>
        <w:spacing w:after="80" w:before="220"/>
      </w:pPr>
      <w:r>
        <w:rPr>
          <w:b/>
          <w:bCs/>
          <w:color w:val="1F3B2C"/>
          <w:sz w:val="24"/>
          <w:szCs w:val="24"/>
        </w:rPr>
        <w:t xml:space="preserve">4. The starter pattern library</w:t>
      </w:r>
    </w:p>
    <w:p>
      <w:pPr>
        <w:spacing w:after="120"/>
        <w:jc w:val="left"/>
      </w:pPr>
      <w:r>
        <w:rPr>
          <w:sz w:val="22"/>
          <w:szCs w:val="22"/>
        </w:rPr>
        <w:t xml:space="preserve">Twelve patterns, each keyed to a recorded fact, with its arrival window. Volumes calibrate from the household's own history after year one.</w:t>
      </w:r>
    </w:p>
    <w:p>
      <w:pPr>
        <w:pStyle w:val="ListParagraph"/>
        <w:numPr>
          <w:ilvl w:val="0"/>
          <w:numId w:val="1"/>
        </w:numPr>
        <w:spacing w:after="80"/>
      </w:pPr>
      <w:r>
        <w:rPr>
          <w:sz w:val="22"/>
          <w:szCs w:val="22"/>
        </w:rPr>
        <w:t xml:space="preserve">Members or close cohort aged 25 to 35: save-the-dates January through April and August through September, for weddings clustering May, June, September and October. Feeds the attending-season program and wedding-travel scheduling.</w:t>
      </w:r>
    </w:p>
    <w:p>
      <w:pPr>
        <w:pStyle w:val="ListParagraph"/>
        <w:numPr>
          <w:ilvl w:val="0"/>
          <w:numId w:val="1"/>
        </w:numPr>
        <w:spacing w:after="80"/>
      </w:pPr>
      <w:r>
        <w:rPr>
          <w:sz w:val="22"/>
          <w:szCs w:val="22"/>
        </w:rPr>
        <w:t xml:space="preserve">Youngest child aged 3 to 8: the birthday-party circuit, near-weekly in school months. Feeds the standing gift rotation.</w:t>
      </w:r>
    </w:p>
    <w:p>
      <w:pPr>
        <w:pStyle w:val="ListParagraph"/>
        <w:numPr>
          <w:ilvl w:val="0"/>
          <w:numId w:val="1"/>
        </w:numPr>
        <w:spacing w:after="80"/>
      </w:pPr>
      <w:r>
        <w:rPr>
          <w:sz w:val="22"/>
          <w:szCs w:val="22"/>
        </w:rPr>
        <w:t xml:space="preserve">A child in 8th grade or the cohort at that stage, where the record carries the observance: bar and bat mitzvah season, invitations arriving months ahead for Saturdays year-round.</w:t>
      </w:r>
    </w:p>
    <w:p>
      <w:pPr>
        <w:pStyle w:val="ListParagraph"/>
        <w:numPr>
          <w:ilvl w:val="0"/>
          <w:numId w:val="1"/>
        </w:numPr>
        <w:spacing w:after="80"/>
      </w:pPr>
      <w:r>
        <w:rPr>
          <w:sz w:val="22"/>
          <w:szCs w:val="22"/>
        </w:rPr>
        <w:t xml:space="preserve">A child who is a junior or senior, or a cohort at that stage: graduation announcements and party invitations for late May and June weekends; senior spring also brings the milestone cascade of the household's own.</w:t>
      </w:r>
    </w:p>
    <w:p>
      <w:pPr>
        <w:pStyle w:val="ListParagraph"/>
        <w:numPr>
          <w:ilvl w:val="0"/>
          <w:numId w:val="1"/>
        </w:numPr>
        <w:spacing w:after="80"/>
      </w:pPr>
      <w:r>
        <w:rPr>
          <w:sz w:val="22"/>
          <w:szCs w:val="22"/>
        </w:rPr>
        <w:t xml:space="preserve">A daughter or cohort at fifteen, where the record carries the practice: quinceanera invitations, with the padrinos request as a possible and weighty arrival.</w:t>
      </w:r>
    </w:p>
    <w:p>
      <w:pPr>
        <w:pStyle w:val="ListParagraph"/>
        <w:numPr>
          <w:ilvl w:val="0"/>
          <w:numId w:val="1"/>
        </w:numPr>
        <w:spacing w:after="80"/>
      </w:pPr>
      <w:r>
        <w:rPr>
          <w:sz w:val="22"/>
          <w:szCs w:val="22"/>
        </w:rPr>
        <w:t xml:space="preserve">A new baby in the household: the cohort follows; expect shower invitations and new-baby occasions among friends for the following two years, which is also the Showing Up referral moment.</w:t>
      </w:r>
    </w:p>
    <w:p>
      <w:pPr>
        <w:pStyle w:val="ListParagraph"/>
        <w:numPr>
          <w:ilvl w:val="0"/>
          <w:numId w:val="1"/>
        </w:numPr>
        <w:spacing w:after="80"/>
      </w:pPr>
      <w:r>
        <w:rPr>
          <w:sz w:val="22"/>
          <w:szCs w:val="22"/>
        </w:rPr>
        <w:t xml:space="preserve">Children in travel sports: tournament schedules arriving seasonally with short notice, weekend consumption in clusters, and the cancellation windfalls the Open Weekend program serves.</w:t>
      </w:r>
    </w:p>
    <w:p>
      <w:pPr>
        <w:pStyle w:val="ListParagraph"/>
        <w:numPr>
          <w:ilvl w:val="0"/>
          <w:numId w:val="1"/>
        </w:numPr>
        <w:spacing w:after="80"/>
      </w:pPr>
      <w:r>
        <w:rPr>
          <w:sz w:val="22"/>
          <w:szCs w:val="22"/>
        </w:rPr>
        <w:t xml:space="preserve">School-age children, any: the spring auction and gala season, March through May, with its donation requests and the babysitter-and-black-tie logistics.</w:t>
      </w:r>
    </w:p>
    <w:p>
      <w:pPr>
        <w:pStyle w:val="ListParagraph"/>
        <w:numPr>
          <w:ilvl w:val="0"/>
          <w:numId w:val="1"/>
        </w:numPr>
        <w:spacing w:after="80"/>
      </w:pPr>
      <w:r>
        <w:rPr>
          <w:sz w:val="22"/>
          <w:szCs w:val="22"/>
        </w:rPr>
        <w:t xml:space="preserve">Children aged 4 to 6 and 17 to 18: the enrollment seasons, applications and deposits with hard deadlines, arriving in fall and winter.</w:t>
      </w:r>
    </w:p>
    <w:p>
      <w:pPr>
        <w:pStyle w:val="ListParagraph"/>
        <w:numPr>
          <w:ilvl w:val="0"/>
          <w:numId w:val="1"/>
        </w:numPr>
        <w:spacing w:after="80"/>
      </w:pPr>
      <w:r>
        <w:rPr>
          <w:sz w:val="22"/>
          <w:szCs w:val="22"/>
        </w:rPr>
        <w:t xml:space="preserve">Members aged 50 to 65: the parents' generation's events arrive, milestone anniversaries and reunions, and alongside them the health-event travel that cannot be forecast to a window but can be expected as a class.</w:t>
      </w:r>
    </w:p>
    <w:p>
      <w:pPr>
        <w:pStyle w:val="ListParagraph"/>
        <w:numPr>
          <w:ilvl w:val="0"/>
          <w:numId w:val="1"/>
        </w:numPr>
        <w:spacing w:after="80"/>
      </w:pPr>
      <w:r>
        <w:rPr>
          <w:sz w:val="22"/>
          <w:szCs w:val="22"/>
        </w:rPr>
        <w:t xml:space="preserve">August, for any household with college-age children in the cohort: the drop-off convoy season and its farewell gatherings.</w:t>
      </w:r>
    </w:p>
    <w:p>
      <w:pPr>
        <w:pStyle w:val="ListParagraph"/>
        <w:numPr>
          <w:ilvl w:val="0"/>
          <w:numId w:val="1"/>
        </w:numPr>
        <w:spacing w:after="80"/>
      </w:pPr>
      <w:r>
        <w:rPr>
          <w:sz w:val="22"/>
          <w:szCs w:val="22"/>
        </w:rPr>
        <w:t xml:space="preserve">December, universally: the card influx, the teacher and service gift season, and the year-end tip rhythm, already carried by the standing program and noted here so the volume forecast reaches the demand map.</w:t>
      </w:r>
    </w:p>
    <w:p>
      <w:pPr>
        <w:spacing w:after="80" w:before="220"/>
      </w:pPr>
      <w:r>
        <w:rPr>
          <w:b/>
          <w:bCs/>
          <w:color w:val="1F3B2C"/>
          <w:sz w:val="24"/>
          <w:szCs w:val="24"/>
        </w:rPr>
        <w:t xml:space="preserve">5. Where the notes surface</w:t>
      </w:r>
    </w:p>
    <w:p>
      <w:pPr>
        <w:pStyle w:val="ListParagraph"/>
        <w:numPr>
          <w:ilvl w:val="0"/>
          <w:numId w:val="1"/>
        </w:numPr>
        <w:spacing w:after="80"/>
      </w:pPr>
      <w:r>
        <w:rPr>
          <w:sz w:val="22"/>
          <w:szCs w:val="22"/>
        </w:rPr>
        <w:t xml:space="preserve">The pre-visit briefing, as an extension of the occasion radar: expected items render alongside known ones, marked as expected.</w:t>
      </w:r>
    </w:p>
    <w:p>
      <w:pPr>
        <w:pStyle w:val="ListParagraph"/>
        <w:numPr>
          <w:ilvl w:val="0"/>
          <w:numId w:val="1"/>
        </w:numPr>
        <w:spacing w:after="80"/>
      </w:pPr>
      <w:r>
        <w:rPr>
          <w:sz w:val="22"/>
          <w:szCs w:val="22"/>
        </w:rPr>
        <w:t xml:space="preserve">The quarterly review preparation, where each note becomes a light question if the household has not raised it.</w:t>
      </w:r>
    </w:p>
    <w:p>
      <w:pPr>
        <w:pStyle w:val="ListParagraph"/>
        <w:numPr>
          <w:ilvl w:val="0"/>
          <w:numId w:val="1"/>
        </w:numPr>
        <w:spacing w:after="80"/>
      </w:pPr>
      <w:r>
        <w:rPr>
          <w:sz w:val="22"/>
          <w:szCs w:val="22"/>
        </w:rPr>
        <w:t xml:space="preserve">The book-level roll-up for the Ops Lead: three households entering graduation season is a June scheduling fact, and the demand map consumes expectation counts exactly as it consumes travel intents.</w:t>
      </w:r>
    </w:p>
    <w:p>
      <w:pPr>
        <w:spacing w:after="80" w:before="220"/>
      </w:pPr>
      <w:r>
        <w:rPr>
          <w:b/>
          <w:bCs/>
          <w:color w:val="1F3B2C"/>
          <w:sz w:val="24"/>
          <w:szCs w:val="24"/>
        </w:rPr>
        <w:t xml:space="preserve">6. Change control and schema</w:t>
      </w:r>
    </w:p>
    <w:p>
      <w:pPr>
        <w:spacing w:after="120"/>
        <w:jc w:val="left"/>
      </w:pPr>
      <w:r>
        <w:rPr>
          <w:sz w:val="22"/>
          <w:szCs w:val="22"/>
        </w:rPr>
        <w:t xml:space="preserve">Pattern library changes are corporate-editable in the versioned trigger-library manner once built; through the pilot, the library above is the whole system and the notes live as a Playbook page per household, reviewed quarterly. Platform shape, queued via WK-QA-015 behind the AR gate: an expectation kind in the trigger engine's roster and calendar families, carrying window, volume, source, and expiry, surfacing to the briefing and the roll-up and nowhere client-facing.</w:t>
      </w:r>
    </w:p>
    <w:p>
      <w:pPr>
        <w:pBdr>
          <w:bottom w:val="single" w:color="1F3B2C" w:sz="6" w:space="1"/>
        </w:pBdr>
        <w:spacing w:after="120" w:before="120"/>
      </w:pPr>
      <w:r>
        <w:rPr>
          <w:sz w:val="22"/>
          <w:szCs w:val="22"/>
        </w:rPr>
        <w:t xml:space="preserve"/>
      </w:r>
    </w:p>
    <w:p>
      <w:pPr>
        <w:spacing w:after="120"/>
        <w:jc w:val="center"/>
      </w:pPr>
      <w:r>
        <w:rPr>
          <w:i/>
          <w:iCs/>
          <w:sz w:val="22"/>
          <w:szCs w:val="22"/>
        </w:rPr>
        <w:t xml:space="preserve">The mail is forecastable. A household whose service already expected the envelope answers it from calm instead of from behind.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2026-08-05T22:07:37.638Z</dcterms:created>
  <dcterms:modified xsi:type="dcterms:W3CDTF">2026-08-05T22:07:37.638Z</dcterms:modified>
</cp:coreProperties>
</file>

<file path=docProps/custom.xml><?xml version="1.0" encoding="utf-8"?>
<Properties xmlns="http://schemas.openxmlformats.org/officeDocument/2006/custom-properties" xmlns:vt="http://schemas.openxmlformats.org/officeDocument/2006/docPropsVTypes"/>
</file>